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data3.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4.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5.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F909F2" w14:textId="77777777" w:rsidR="00073408" w:rsidRPr="001E27CF" w:rsidRDefault="00073408" w:rsidP="009F5C3F">
      <w:pPr>
        <w:pStyle w:val="Title"/>
        <w:spacing w:line="240" w:lineRule="auto"/>
      </w:pPr>
    </w:p>
    <w:p w14:paraId="5CFF4EF8" w14:textId="77777777" w:rsidR="00073408" w:rsidRPr="001E27CF" w:rsidRDefault="00073408" w:rsidP="009F5C3F">
      <w:pPr>
        <w:pStyle w:val="Title"/>
        <w:spacing w:line="240" w:lineRule="auto"/>
      </w:pPr>
    </w:p>
    <w:p w14:paraId="498579ED" w14:textId="77777777" w:rsidR="00073408" w:rsidRPr="001E27CF" w:rsidRDefault="00073408" w:rsidP="009F5C3F">
      <w:pPr>
        <w:pStyle w:val="Title"/>
        <w:spacing w:line="240" w:lineRule="auto"/>
      </w:pPr>
    </w:p>
    <w:p w14:paraId="4B54BB32" w14:textId="77777777" w:rsidR="007C56DF" w:rsidRDefault="007C56DF" w:rsidP="007C56DF">
      <w:pPr>
        <w:pStyle w:val="Title"/>
        <w:rPr>
          <w:rFonts w:ascii="Times New Roman" w:hAnsi="Times New Roman" w:cs="Times New Roman"/>
        </w:rPr>
      </w:pPr>
    </w:p>
    <w:p w14:paraId="0C9E3ACB" w14:textId="77777777" w:rsidR="007C56DF" w:rsidRDefault="007C56DF" w:rsidP="007C56DF">
      <w:pPr>
        <w:pStyle w:val="Title"/>
        <w:rPr>
          <w:rFonts w:ascii="Times New Roman" w:hAnsi="Times New Roman" w:cs="Times New Roman"/>
        </w:rPr>
      </w:pPr>
    </w:p>
    <w:p w14:paraId="2D42381E" w14:textId="77777777" w:rsidR="007C56DF" w:rsidRDefault="007C56DF" w:rsidP="007C56DF">
      <w:pPr>
        <w:pStyle w:val="Title"/>
        <w:rPr>
          <w:rFonts w:ascii="Times New Roman" w:hAnsi="Times New Roman" w:cs="Times New Roman"/>
        </w:rPr>
      </w:pPr>
    </w:p>
    <w:p w14:paraId="606F9D7B" w14:textId="77777777" w:rsidR="007C56DF" w:rsidRDefault="007C56DF" w:rsidP="007C56DF">
      <w:pPr>
        <w:pStyle w:val="Title"/>
        <w:rPr>
          <w:rFonts w:ascii="Times New Roman" w:hAnsi="Times New Roman" w:cs="Times New Roman"/>
        </w:rPr>
      </w:pPr>
    </w:p>
    <w:p w14:paraId="20A36047" w14:textId="77777777" w:rsidR="00073408" w:rsidRPr="007C56DF" w:rsidRDefault="00073408" w:rsidP="007C56DF">
      <w:pPr>
        <w:pStyle w:val="Title"/>
        <w:rPr>
          <w:rFonts w:ascii="Times New Roman" w:hAnsi="Times New Roman" w:cs="Times New Roman"/>
        </w:rPr>
      </w:pPr>
      <w:r w:rsidRPr="007C56DF">
        <w:rPr>
          <w:rFonts w:ascii="Times New Roman" w:hAnsi="Times New Roman" w:cs="Times New Roman"/>
        </w:rPr>
        <w:t>From Challenges to Opportunities:</w:t>
      </w:r>
    </w:p>
    <w:p w14:paraId="36B13BD7" w14:textId="77777777" w:rsidR="00073408" w:rsidRPr="007C56DF" w:rsidRDefault="00073408" w:rsidP="007C56DF">
      <w:pPr>
        <w:pStyle w:val="Title"/>
        <w:rPr>
          <w:rFonts w:ascii="Times New Roman" w:hAnsi="Times New Roman" w:cs="Times New Roman"/>
        </w:rPr>
      </w:pPr>
      <w:r w:rsidRPr="007C56DF">
        <w:rPr>
          <w:rFonts w:ascii="Times New Roman" w:hAnsi="Times New Roman" w:cs="Times New Roman"/>
        </w:rPr>
        <w:t>Professional Educator Development Systems that Work for</w:t>
      </w:r>
    </w:p>
    <w:p w14:paraId="79091E60" w14:textId="31FA58A9" w:rsidR="00073408" w:rsidRPr="007C56DF" w:rsidRDefault="00073408" w:rsidP="00F86DA5">
      <w:pPr>
        <w:pStyle w:val="Title"/>
        <w:rPr>
          <w:rFonts w:ascii="Times New Roman" w:hAnsi="Times New Roman" w:cs="Times New Roman"/>
        </w:rPr>
      </w:pPr>
      <w:r w:rsidRPr="007C56DF">
        <w:rPr>
          <w:rFonts w:ascii="Times New Roman" w:hAnsi="Times New Roman" w:cs="Times New Roman"/>
        </w:rPr>
        <w:t>Students with Disabilities</w:t>
      </w:r>
    </w:p>
    <w:p w14:paraId="6DDF5450" w14:textId="77777777" w:rsidR="00073408" w:rsidRPr="007C56DF" w:rsidRDefault="00073408" w:rsidP="007C56DF">
      <w:pPr>
        <w:pStyle w:val="Title"/>
        <w:rPr>
          <w:rFonts w:ascii="Times New Roman" w:hAnsi="Times New Roman" w:cs="Times New Roman"/>
        </w:rPr>
      </w:pPr>
      <w:r w:rsidRPr="007C56DF">
        <w:rPr>
          <w:rFonts w:ascii="Times New Roman" w:hAnsi="Times New Roman" w:cs="Times New Roman"/>
        </w:rPr>
        <w:t>Elizabeth B. Kozleski</w:t>
      </w:r>
    </w:p>
    <w:p w14:paraId="2BB2829D" w14:textId="4EAA0178" w:rsidR="00073408" w:rsidRPr="007C56DF" w:rsidRDefault="00073408" w:rsidP="007C56DF">
      <w:pPr>
        <w:pStyle w:val="Title"/>
        <w:rPr>
          <w:rFonts w:ascii="Times New Roman" w:hAnsi="Times New Roman" w:cs="Times New Roman"/>
        </w:rPr>
      </w:pPr>
      <w:r w:rsidRPr="007C56DF">
        <w:rPr>
          <w:rFonts w:ascii="Times New Roman" w:hAnsi="Times New Roman" w:cs="Times New Roman"/>
        </w:rPr>
        <w:t>Molly Ba</w:t>
      </w:r>
      <w:r w:rsidR="00B20B1B" w:rsidRPr="007C56DF">
        <w:rPr>
          <w:rFonts w:ascii="Times New Roman" w:hAnsi="Times New Roman" w:cs="Times New Roman"/>
        </w:rPr>
        <w:t>u</w:t>
      </w:r>
      <w:r w:rsidRPr="007C56DF">
        <w:rPr>
          <w:rFonts w:ascii="Times New Roman" w:hAnsi="Times New Roman" w:cs="Times New Roman"/>
        </w:rPr>
        <w:t>stien Siuty</w:t>
      </w:r>
    </w:p>
    <w:p w14:paraId="7A499D1E" w14:textId="77777777" w:rsidR="00073408" w:rsidRPr="007C56DF" w:rsidRDefault="00073408" w:rsidP="007C56DF">
      <w:pPr>
        <w:pStyle w:val="Title"/>
        <w:rPr>
          <w:rFonts w:ascii="Times New Roman" w:hAnsi="Times New Roman" w:cs="Times New Roman"/>
        </w:rPr>
      </w:pPr>
      <w:r w:rsidRPr="007C56DF">
        <w:rPr>
          <w:rFonts w:ascii="Times New Roman" w:hAnsi="Times New Roman" w:cs="Times New Roman"/>
        </w:rPr>
        <w:t>University of Kansas</w:t>
      </w:r>
    </w:p>
    <w:p w14:paraId="751D912A" w14:textId="77777777" w:rsidR="00073408" w:rsidRPr="007C56DF" w:rsidRDefault="00073408" w:rsidP="007C56DF">
      <w:pPr>
        <w:rPr>
          <w:rFonts w:ascii="Times New Roman" w:hAnsi="Times New Roman" w:cs="Times New Roman"/>
        </w:rPr>
      </w:pPr>
    </w:p>
    <w:p w14:paraId="4AF83036" w14:textId="77777777" w:rsidR="00671012" w:rsidRPr="001E27CF" w:rsidRDefault="00671012" w:rsidP="009F5C3F">
      <w:pPr>
        <w:spacing w:line="240" w:lineRule="auto"/>
      </w:pPr>
    </w:p>
    <w:p w14:paraId="6632C4C1" w14:textId="77777777" w:rsidR="008F605C" w:rsidRDefault="008F605C" w:rsidP="009F5C3F">
      <w:pPr>
        <w:pStyle w:val="Title"/>
        <w:spacing w:line="240" w:lineRule="auto"/>
        <w:rPr>
          <w:rFonts w:ascii="Times New Roman" w:hAnsi="Times New Roman" w:cs="Times New Roman"/>
        </w:rPr>
      </w:pPr>
    </w:p>
    <w:p w14:paraId="44B304D1" w14:textId="77777777" w:rsidR="008F605C" w:rsidRDefault="008F605C" w:rsidP="009F5C3F">
      <w:pPr>
        <w:pStyle w:val="Title"/>
        <w:spacing w:line="240" w:lineRule="auto"/>
        <w:rPr>
          <w:rFonts w:ascii="Times New Roman" w:hAnsi="Times New Roman" w:cs="Times New Roman"/>
        </w:rPr>
      </w:pPr>
    </w:p>
    <w:p w14:paraId="22CCA490" w14:textId="77777777" w:rsidR="008F605C" w:rsidRDefault="008F605C" w:rsidP="009F5C3F">
      <w:pPr>
        <w:pStyle w:val="Title"/>
        <w:spacing w:line="240" w:lineRule="auto"/>
        <w:rPr>
          <w:rFonts w:ascii="Times New Roman" w:hAnsi="Times New Roman" w:cs="Times New Roman"/>
        </w:rPr>
      </w:pPr>
    </w:p>
    <w:p w14:paraId="1FD1EB9A" w14:textId="77777777" w:rsidR="008F605C" w:rsidRDefault="008F605C" w:rsidP="009F5C3F">
      <w:pPr>
        <w:pStyle w:val="Title"/>
        <w:spacing w:line="240" w:lineRule="auto"/>
        <w:rPr>
          <w:rFonts w:ascii="Times New Roman" w:hAnsi="Times New Roman" w:cs="Times New Roman"/>
        </w:rPr>
      </w:pPr>
    </w:p>
    <w:p w14:paraId="53482AC4" w14:textId="77777777" w:rsidR="008F605C" w:rsidRDefault="008F605C" w:rsidP="009F5C3F">
      <w:pPr>
        <w:pStyle w:val="Title"/>
        <w:spacing w:line="240" w:lineRule="auto"/>
        <w:rPr>
          <w:rFonts w:ascii="Times New Roman" w:hAnsi="Times New Roman" w:cs="Times New Roman"/>
        </w:rPr>
      </w:pPr>
    </w:p>
    <w:p w14:paraId="129D8769" w14:textId="77777777" w:rsidR="008F605C" w:rsidRDefault="008F605C" w:rsidP="009F5C3F">
      <w:pPr>
        <w:pStyle w:val="Title"/>
        <w:spacing w:line="240" w:lineRule="auto"/>
        <w:rPr>
          <w:rFonts w:ascii="Times New Roman" w:hAnsi="Times New Roman" w:cs="Times New Roman"/>
        </w:rPr>
      </w:pPr>
    </w:p>
    <w:p w14:paraId="40607154" w14:textId="77777777" w:rsidR="008F605C" w:rsidRDefault="008F605C" w:rsidP="009F5C3F">
      <w:pPr>
        <w:pStyle w:val="Title"/>
        <w:spacing w:line="240" w:lineRule="auto"/>
        <w:rPr>
          <w:rFonts w:ascii="Times New Roman" w:hAnsi="Times New Roman" w:cs="Times New Roman"/>
        </w:rPr>
      </w:pPr>
    </w:p>
    <w:p w14:paraId="4EE88778" w14:textId="77777777" w:rsidR="008F605C" w:rsidRDefault="008F605C" w:rsidP="009F5C3F">
      <w:pPr>
        <w:pStyle w:val="Title"/>
        <w:spacing w:line="240" w:lineRule="auto"/>
        <w:rPr>
          <w:rFonts w:ascii="Times New Roman" w:hAnsi="Times New Roman" w:cs="Times New Roman"/>
        </w:rPr>
      </w:pPr>
    </w:p>
    <w:p w14:paraId="2FBF1777" w14:textId="77777777" w:rsidR="00073408" w:rsidRPr="007C56DF" w:rsidRDefault="00073408" w:rsidP="009F5C3F">
      <w:pPr>
        <w:pStyle w:val="Title"/>
        <w:spacing w:line="240" w:lineRule="auto"/>
        <w:rPr>
          <w:rFonts w:ascii="Times New Roman" w:hAnsi="Times New Roman" w:cs="Times New Roman"/>
        </w:rPr>
      </w:pPr>
      <w:r w:rsidRPr="007C56DF">
        <w:rPr>
          <w:rFonts w:ascii="Times New Roman" w:hAnsi="Times New Roman" w:cs="Times New Roman"/>
        </w:rPr>
        <w:t>Authors’ Note</w:t>
      </w:r>
    </w:p>
    <w:p w14:paraId="50F3FCF5" w14:textId="43157D23" w:rsidR="00073408" w:rsidRPr="007C56DF" w:rsidRDefault="00073408" w:rsidP="009F5C3F">
      <w:pPr>
        <w:spacing w:line="240" w:lineRule="auto"/>
        <w:rPr>
          <w:rFonts w:ascii="Times New Roman" w:hAnsi="Times New Roman" w:cs="Times New Roman"/>
        </w:rPr>
      </w:pPr>
      <w:r w:rsidRPr="007C56DF">
        <w:rPr>
          <w:rFonts w:ascii="Times New Roman" w:hAnsi="Times New Roman" w:cs="Times New Roman"/>
        </w:rPr>
        <w:t>The authors acknowledge the support of the</w:t>
      </w:r>
      <w:r w:rsidR="00A27E66" w:rsidRPr="007C56DF">
        <w:rPr>
          <w:rFonts w:ascii="Times New Roman" w:hAnsi="Times New Roman" w:cs="Times New Roman"/>
        </w:rPr>
        <w:t xml:space="preserve"> Collaboration for Effective Education Development, Accountability, and Reform </w:t>
      </w:r>
      <w:r w:rsidRPr="007C56DF">
        <w:rPr>
          <w:rFonts w:ascii="Times New Roman" w:hAnsi="Times New Roman" w:cs="Times New Roman"/>
        </w:rPr>
        <w:t>(</w:t>
      </w:r>
      <w:r w:rsidR="00902455" w:rsidRPr="007C56DF">
        <w:rPr>
          <w:rFonts w:ascii="Times New Roman" w:hAnsi="Times New Roman" w:cs="Times New Roman"/>
        </w:rPr>
        <w:t xml:space="preserve">CEEDAR) project under Grant Number </w:t>
      </w:r>
      <w:r w:rsidR="00902455" w:rsidRPr="007C56DF">
        <w:rPr>
          <w:rFonts w:ascii="Times New Roman" w:eastAsia="Times New Roman" w:hAnsi="Times New Roman" w:cs="Times New Roman"/>
          <w:color w:val="000000"/>
          <w:spacing w:val="0"/>
        </w:rPr>
        <w:t xml:space="preserve">H325A120003 </w:t>
      </w:r>
      <w:r w:rsidRPr="007C56DF">
        <w:rPr>
          <w:rFonts w:ascii="Times New Roman" w:hAnsi="Times New Roman" w:cs="Times New Roman"/>
        </w:rPr>
        <w:t xml:space="preserve">awarded by the U.S. Department of Education’s Office of Special Education Programs. Funding agency endorsement of the ideas presented in this article should not be inferred. </w:t>
      </w:r>
    </w:p>
    <w:p w14:paraId="34F95592" w14:textId="77777777" w:rsidR="007C56DF" w:rsidRDefault="007C56DF" w:rsidP="009F5C3F">
      <w:pPr>
        <w:spacing w:line="240" w:lineRule="auto"/>
        <w:rPr>
          <w:rFonts w:ascii="Times New Roman" w:hAnsi="Times New Roman" w:cs="Times New Roman"/>
        </w:rPr>
      </w:pPr>
    </w:p>
    <w:p w14:paraId="3B3C1CD8" w14:textId="77777777" w:rsidR="00073408" w:rsidRPr="007C56DF" w:rsidRDefault="00073408" w:rsidP="009F5C3F">
      <w:pPr>
        <w:spacing w:line="240" w:lineRule="auto"/>
        <w:rPr>
          <w:rFonts w:ascii="Times New Roman" w:hAnsi="Times New Roman" w:cs="Times New Roman"/>
        </w:rPr>
      </w:pPr>
      <w:r w:rsidRPr="007C56DF">
        <w:rPr>
          <w:rFonts w:ascii="Times New Roman" w:hAnsi="Times New Roman" w:cs="Times New Roman"/>
        </w:rPr>
        <w:t>Address correspondence to Elizabeth B. Kozleski, Department of Special Education, University of Kansas, Lawrence, KS 60045.  Contact: elizabeth.kozleski@ku.edu</w:t>
      </w:r>
    </w:p>
    <w:p w14:paraId="0C2B5C25" w14:textId="4D10E73D" w:rsidR="00073408" w:rsidRPr="00E70C98" w:rsidRDefault="00073408" w:rsidP="007C56DF">
      <w:pPr>
        <w:pStyle w:val="Heading1"/>
        <w:spacing w:line="480" w:lineRule="auto"/>
        <w:rPr>
          <w:rFonts w:ascii="Times New Roman" w:hAnsi="Times New Roman" w:cs="Times New Roman"/>
          <w:b w:val="0"/>
        </w:rPr>
      </w:pPr>
      <w:r w:rsidRPr="00E70C98">
        <w:rPr>
          <w:rFonts w:ascii="Times New Roman" w:hAnsi="Times New Roman" w:cs="Times New Roman"/>
          <w:b w:val="0"/>
        </w:rPr>
        <w:lastRenderedPageBreak/>
        <w:t>Abstract</w:t>
      </w:r>
    </w:p>
    <w:p w14:paraId="767AAA77" w14:textId="4DDDB707" w:rsidR="00073408" w:rsidRPr="007C56DF" w:rsidRDefault="00361DEA" w:rsidP="007C56DF">
      <w:pPr>
        <w:rPr>
          <w:rFonts w:ascii="Times New Roman" w:hAnsi="Times New Roman" w:cs="Times New Roman"/>
        </w:rPr>
      </w:pPr>
      <w:r w:rsidRPr="007C56DF">
        <w:rPr>
          <w:rFonts w:ascii="Times New Roman" w:hAnsi="Times New Roman" w:cs="Times New Roman"/>
        </w:rPr>
        <w:t>Teacher education</w:t>
      </w:r>
      <w:r w:rsidR="00011A43" w:rsidRPr="007C56DF">
        <w:rPr>
          <w:rFonts w:ascii="Times New Roman" w:hAnsi="Times New Roman" w:cs="Times New Roman"/>
        </w:rPr>
        <w:t xml:space="preserve"> effectiveness </w:t>
      </w:r>
      <w:r w:rsidRPr="007C56DF">
        <w:rPr>
          <w:rFonts w:ascii="Times New Roman" w:hAnsi="Times New Roman" w:cs="Times New Roman"/>
        </w:rPr>
        <w:t xml:space="preserve">is deeply linked to fundamental </w:t>
      </w:r>
      <w:r w:rsidR="00211BD8" w:rsidRPr="007C56DF">
        <w:rPr>
          <w:rFonts w:ascii="Times New Roman" w:hAnsi="Times New Roman" w:cs="Times New Roman"/>
        </w:rPr>
        <w:t>structures</w:t>
      </w:r>
      <w:r w:rsidR="00A1774B" w:rsidRPr="007C56DF">
        <w:rPr>
          <w:rFonts w:ascii="Times New Roman" w:hAnsi="Times New Roman" w:cs="Times New Roman"/>
        </w:rPr>
        <w:t xml:space="preserve"> and policies</w:t>
      </w:r>
      <w:r w:rsidRPr="007C56DF">
        <w:rPr>
          <w:rFonts w:ascii="Times New Roman" w:hAnsi="Times New Roman" w:cs="Times New Roman"/>
        </w:rPr>
        <w:t xml:space="preserve"> </w:t>
      </w:r>
      <w:r w:rsidR="00011A43" w:rsidRPr="007C56DF">
        <w:rPr>
          <w:rFonts w:ascii="Times New Roman" w:hAnsi="Times New Roman" w:cs="Times New Roman"/>
        </w:rPr>
        <w:t>that organize activity within the U.S.</w:t>
      </w:r>
      <w:r w:rsidRPr="007C56DF">
        <w:rPr>
          <w:rFonts w:ascii="Times New Roman" w:hAnsi="Times New Roman" w:cs="Times New Roman"/>
        </w:rPr>
        <w:t xml:space="preserve"> education system. How the teacher workforce is conceptualized, funded, and evaluated</w:t>
      </w:r>
      <w:r w:rsidR="00933F77" w:rsidRPr="007C56DF">
        <w:rPr>
          <w:rFonts w:ascii="Times New Roman" w:hAnsi="Times New Roman" w:cs="Times New Roman"/>
        </w:rPr>
        <w:t xml:space="preserve"> frames </w:t>
      </w:r>
      <w:r w:rsidR="00DB0FD5" w:rsidRPr="007C56DF">
        <w:rPr>
          <w:rFonts w:ascii="Times New Roman" w:hAnsi="Times New Roman" w:cs="Times New Roman"/>
        </w:rPr>
        <w:t>teacher performance and evaluation</w:t>
      </w:r>
      <w:r w:rsidRPr="007C56DF">
        <w:rPr>
          <w:rFonts w:ascii="Times New Roman" w:hAnsi="Times New Roman" w:cs="Times New Roman"/>
        </w:rPr>
        <w:t xml:space="preserve">. </w:t>
      </w:r>
      <w:r w:rsidRPr="007C56DF">
        <w:rPr>
          <w:rFonts w:ascii="Times New Roman" w:hAnsi="Times New Roman" w:cs="Times New Roman"/>
          <w:i/>
        </w:rPr>
        <w:t xml:space="preserve"> </w:t>
      </w:r>
      <w:r w:rsidRPr="007C56DF">
        <w:rPr>
          <w:rFonts w:ascii="Times New Roman" w:hAnsi="Times New Roman" w:cs="Times New Roman"/>
        </w:rPr>
        <w:t xml:space="preserve">Expanding the scope of </w:t>
      </w:r>
      <w:r w:rsidR="00902455" w:rsidRPr="007C56DF">
        <w:rPr>
          <w:rFonts w:ascii="Times New Roman" w:hAnsi="Times New Roman" w:cs="Times New Roman"/>
          <w:i/>
        </w:rPr>
        <w:t xml:space="preserve">all </w:t>
      </w:r>
      <w:r w:rsidRPr="007C56DF">
        <w:rPr>
          <w:rFonts w:ascii="Times New Roman" w:hAnsi="Times New Roman" w:cs="Times New Roman"/>
        </w:rPr>
        <w:t>teachers</w:t>
      </w:r>
      <w:r w:rsidR="00211BD8" w:rsidRPr="007C56DF">
        <w:rPr>
          <w:rFonts w:ascii="Times New Roman" w:hAnsi="Times New Roman" w:cs="Times New Roman"/>
        </w:rPr>
        <w:t>’</w:t>
      </w:r>
      <w:r w:rsidRPr="007C56DF">
        <w:rPr>
          <w:rFonts w:ascii="Times New Roman" w:hAnsi="Times New Roman" w:cs="Times New Roman"/>
        </w:rPr>
        <w:t xml:space="preserve"> work to include skilled support for learners with disabilities in collaboration with special educators must be un</w:t>
      </w:r>
      <w:r w:rsidR="00650A23" w:rsidRPr="007C56DF">
        <w:rPr>
          <w:rFonts w:ascii="Times New Roman" w:hAnsi="Times New Roman" w:cs="Times New Roman"/>
        </w:rPr>
        <w:t>der</w:t>
      </w:r>
      <w:r w:rsidRPr="007C56DF">
        <w:rPr>
          <w:rFonts w:ascii="Times New Roman" w:hAnsi="Times New Roman" w:cs="Times New Roman"/>
        </w:rPr>
        <w:t xml:space="preserve">taken with careful attention to </w:t>
      </w:r>
      <w:r w:rsidR="00933F77" w:rsidRPr="007C56DF">
        <w:rPr>
          <w:rFonts w:ascii="Times New Roman" w:hAnsi="Times New Roman" w:cs="Times New Roman"/>
        </w:rPr>
        <w:t>the patchwork of systems that comprise U. S.</w:t>
      </w:r>
      <w:r w:rsidR="00A1774B" w:rsidRPr="007C56DF">
        <w:rPr>
          <w:rFonts w:ascii="Times New Roman" w:hAnsi="Times New Roman" w:cs="Times New Roman"/>
        </w:rPr>
        <w:t xml:space="preserve"> </w:t>
      </w:r>
      <w:r w:rsidR="00E70C98">
        <w:rPr>
          <w:rFonts w:ascii="Times New Roman" w:hAnsi="Times New Roman" w:cs="Times New Roman"/>
        </w:rPr>
        <w:t xml:space="preserve">public education.  </w:t>
      </w:r>
      <w:r w:rsidR="00933F77" w:rsidRPr="007C56DF">
        <w:rPr>
          <w:rFonts w:ascii="Times New Roman" w:hAnsi="Times New Roman" w:cs="Times New Roman"/>
        </w:rPr>
        <w:t>Strategic attention to the loose links will provide more powerful c</w:t>
      </w:r>
      <w:r w:rsidRPr="007C56DF">
        <w:rPr>
          <w:rFonts w:ascii="Times New Roman" w:hAnsi="Times New Roman" w:cs="Times New Roman"/>
        </w:rPr>
        <w:t>hange</w:t>
      </w:r>
      <w:r w:rsidR="00211BD8" w:rsidRPr="007C56DF">
        <w:rPr>
          <w:rFonts w:ascii="Times New Roman" w:hAnsi="Times New Roman" w:cs="Times New Roman"/>
        </w:rPr>
        <w:t xml:space="preserve"> mechanisms</w:t>
      </w:r>
      <w:r w:rsidRPr="007C56DF">
        <w:rPr>
          <w:rFonts w:ascii="Times New Roman" w:hAnsi="Times New Roman" w:cs="Times New Roman"/>
        </w:rPr>
        <w:t xml:space="preserve">.  </w:t>
      </w:r>
      <w:r w:rsidR="00073408" w:rsidRPr="007C56DF">
        <w:rPr>
          <w:rFonts w:ascii="Times New Roman" w:hAnsi="Times New Roman" w:cs="Times New Roman"/>
        </w:rPr>
        <w:t xml:space="preserve">This paper reviews the literature on teacher education and development </w:t>
      </w:r>
      <w:r w:rsidR="00011A43" w:rsidRPr="007C56DF">
        <w:rPr>
          <w:rFonts w:ascii="Times New Roman" w:hAnsi="Times New Roman" w:cs="Times New Roman"/>
        </w:rPr>
        <w:t xml:space="preserve">systems </w:t>
      </w:r>
      <w:r w:rsidR="00073408" w:rsidRPr="007C56DF">
        <w:rPr>
          <w:rFonts w:ascii="Times New Roman" w:hAnsi="Times New Roman" w:cs="Times New Roman"/>
        </w:rPr>
        <w:t>with particular emphasis on evidence of the results of systems of professional educator preparati</w:t>
      </w:r>
      <w:r w:rsidR="00933F77" w:rsidRPr="007C56DF">
        <w:rPr>
          <w:rFonts w:ascii="Times New Roman" w:hAnsi="Times New Roman" w:cs="Times New Roman"/>
        </w:rPr>
        <w:t>on. Literature reviewed includes</w:t>
      </w:r>
      <w:r w:rsidR="00073408" w:rsidRPr="007C56DF">
        <w:rPr>
          <w:rFonts w:ascii="Times New Roman" w:hAnsi="Times New Roman" w:cs="Times New Roman"/>
        </w:rPr>
        <w:t xml:space="preserve"> papers, chapters, and policy briefs produced under federal and state funding, for national teacher education groups, and peer-reviewed empirical and theoretical papers.  Where accessible, we provide summary analyses of teacher education data.  We highlight effective systems levers that increase the capacity of the educator work force to produce substantive achievement and successful graduation rates for students with disabilities. </w:t>
      </w:r>
    </w:p>
    <w:p w14:paraId="5AEA8BD1" w14:textId="77777777" w:rsidR="00073408" w:rsidRPr="007C56DF" w:rsidRDefault="00073408" w:rsidP="007C56DF">
      <w:pPr>
        <w:rPr>
          <w:rFonts w:ascii="Times New Roman" w:hAnsi="Times New Roman" w:cs="Times New Roman"/>
        </w:rPr>
      </w:pPr>
      <w:r w:rsidRPr="0043732E">
        <w:rPr>
          <w:rFonts w:ascii="Times New Roman" w:hAnsi="Times New Roman" w:cs="Times New Roman"/>
          <w:i/>
        </w:rPr>
        <w:t>Keywords:</w:t>
      </w:r>
      <w:r w:rsidRPr="007C56DF">
        <w:rPr>
          <w:rFonts w:ascii="Times New Roman" w:hAnsi="Times New Roman" w:cs="Times New Roman"/>
        </w:rPr>
        <w:t xml:space="preserve">  teacher education, special education teacher preparation, students with disabilities, special education, educator preparation, teacher education systems</w:t>
      </w:r>
    </w:p>
    <w:p w14:paraId="7302C30A" w14:textId="77777777" w:rsidR="006D03FA" w:rsidRPr="00576EAE" w:rsidRDefault="00073408" w:rsidP="007C56DF">
      <w:pPr>
        <w:pStyle w:val="Heading1"/>
        <w:spacing w:line="480" w:lineRule="auto"/>
        <w:rPr>
          <w:rFonts w:ascii="Times New Roman" w:hAnsi="Times New Roman" w:cs="Times New Roman"/>
          <w:b w:val="0"/>
        </w:rPr>
      </w:pPr>
      <w:r w:rsidRPr="007C56DF">
        <w:rPr>
          <w:rFonts w:ascii="Times New Roman" w:hAnsi="Times New Roman" w:cs="Times New Roman"/>
        </w:rPr>
        <w:br w:type="column"/>
      </w:r>
      <w:r w:rsidR="006D03FA" w:rsidRPr="00576EAE">
        <w:rPr>
          <w:rFonts w:ascii="Times New Roman" w:hAnsi="Times New Roman" w:cs="Times New Roman"/>
          <w:b w:val="0"/>
        </w:rPr>
        <w:lastRenderedPageBreak/>
        <w:t>Systems Change for Teacher Education:  From Equity Challenges to Opportunities</w:t>
      </w:r>
    </w:p>
    <w:p w14:paraId="2F50B353" w14:textId="24BE43C9" w:rsidR="00B6767B" w:rsidRPr="007C56DF" w:rsidRDefault="00317EC8" w:rsidP="007C56DF">
      <w:pPr>
        <w:rPr>
          <w:rFonts w:ascii="Times New Roman" w:hAnsi="Times New Roman" w:cs="Times New Roman"/>
        </w:rPr>
      </w:pPr>
      <w:r w:rsidRPr="007C56DF">
        <w:rPr>
          <w:rFonts w:ascii="Times New Roman" w:hAnsi="Times New Roman" w:cs="Times New Roman"/>
        </w:rPr>
        <w:t>Teacher education</w:t>
      </w:r>
      <w:r w:rsidR="00EB577C" w:rsidRPr="007C56DF">
        <w:rPr>
          <w:rFonts w:ascii="Times New Roman" w:hAnsi="Times New Roman" w:cs="Times New Roman"/>
        </w:rPr>
        <w:t xml:space="preserve"> represents a nested system that is inf</w:t>
      </w:r>
      <w:r w:rsidR="000B7819" w:rsidRPr="007C56DF">
        <w:rPr>
          <w:rFonts w:ascii="Times New Roman" w:hAnsi="Times New Roman" w:cs="Times New Roman"/>
        </w:rPr>
        <w:t>lu</w:t>
      </w:r>
      <w:r w:rsidR="00E907A4" w:rsidRPr="007C56DF">
        <w:rPr>
          <w:rFonts w:ascii="Times New Roman" w:hAnsi="Times New Roman" w:cs="Times New Roman"/>
        </w:rPr>
        <w:t>enced</w:t>
      </w:r>
      <w:r w:rsidR="00EB577C" w:rsidRPr="007C56DF">
        <w:rPr>
          <w:rFonts w:ascii="Times New Roman" w:hAnsi="Times New Roman" w:cs="Times New Roman"/>
        </w:rPr>
        <w:t xml:space="preserve"> by national s</w:t>
      </w:r>
      <w:r w:rsidR="000B7819" w:rsidRPr="007C56DF">
        <w:rPr>
          <w:rFonts w:ascii="Times New Roman" w:hAnsi="Times New Roman" w:cs="Times New Roman"/>
        </w:rPr>
        <w:t xml:space="preserve">tandards, while responding to state departments of education and the needs of local school systems Therefore, reform intended to improve teacher education will require careful attention to how these systems influence and respond to one another and even the unintended consequences of such change. </w:t>
      </w:r>
      <w:r w:rsidRPr="007C56DF">
        <w:rPr>
          <w:rFonts w:ascii="Times New Roman" w:hAnsi="Times New Roman" w:cs="Times New Roman"/>
        </w:rPr>
        <w:t xml:space="preserve"> </w:t>
      </w:r>
      <w:r w:rsidR="00B6767B" w:rsidRPr="007C56DF">
        <w:rPr>
          <w:rFonts w:ascii="Times New Roman" w:hAnsi="Times New Roman" w:cs="Times New Roman"/>
        </w:rPr>
        <w:t>This paper examines the opportunities and constraints that face policy makers as they strive to improve the outcomes of preparing the teacher workforce, including consideration and attention to learning design and practices that account for the multiple ways of knowing and understanding that students with disabilities bring to classrooms.  The analysis is grounded in complexity theory, systemic change, and cultural historical activity theory.  In doing so, we seek to uncover the possibilities within systems that offer leverage for change, improvement, and transformation in what teachers know, how they practice, and how they inform and shape the institutional cultures and systems of schooling in the United States, with specific attention to the educational needs of students with disabilities.</w:t>
      </w:r>
    </w:p>
    <w:p w14:paraId="3388727D" w14:textId="113933E5" w:rsidR="00B6767B" w:rsidRPr="007C56DF" w:rsidRDefault="00B6767B" w:rsidP="007C56DF">
      <w:pPr>
        <w:ind w:firstLine="0"/>
        <w:rPr>
          <w:rFonts w:ascii="Times New Roman" w:hAnsi="Times New Roman" w:cs="Times New Roman"/>
          <w:b/>
        </w:rPr>
      </w:pPr>
      <w:r w:rsidRPr="007C56DF">
        <w:rPr>
          <w:rFonts w:ascii="Times New Roman" w:hAnsi="Times New Roman" w:cs="Times New Roman"/>
          <w:b/>
        </w:rPr>
        <w:t>The Current State of Teacher Education</w:t>
      </w:r>
    </w:p>
    <w:p w14:paraId="511D7CE5" w14:textId="5182E0B1" w:rsidR="00211BD8" w:rsidRPr="007C56DF" w:rsidRDefault="0004551E" w:rsidP="007C56DF">
      <w:pPr>
        <w:rPr>
          <w:rFonts w:ascii="Times New Roman" w:hAnsi="Times New Roman" w:cs="Times New Roman"/>
        </w:rPr>
      </w:pPr>
      <w:r w:rsidRPr="007C56DF">
        <w:rPr>
          <w:rFonts w:ascii="Times New Roman" w:hAnsi="Times New Roman" w:cs="Times New Roman"/>
        </w:rPr>
        <w:t xml:space="preserve">Teachers and teacher education have </w:t>
      </w:r>
      <w:r w:rsidR="00DB0FD5" w:rsidRPr="007C56DF">
        <w:rPr>
          <w:rFonts w:ascii="Times New Roman" w:hAnsi="Times New Roman" w:cs="Times New Roman"/>
        </w:rPr>
        <w:t>faced severe</w:t>
      </w:r>
      <w:r w:rsidRPr="007C56DF">
        <w:rPr>
          <w:rFonts w:ascii="Times New Roman" w:hAnsi="Times New Roman" w:cs="Times New Roman"/>
        </w:rPr>
        <w:t xml:space="preserve"> scrutin</w:t>
      </w:r>
      <w:r w:rsidR="00DB0FD5" w:rsidRPr="007C56DF">
        <w:rPr>
          <w:rFonts w:ascii="Times New Roman" w:hAnsi="Times New Roman" w:cs="Times New Roman"/>
        </w:rPr>
        <w:t>y</w:t>
      </w:r>
      <w:r w:rsidRPr="007C56DF">
        <w:rPr>
          <w:rFonts w:ascii="Times New Roman" w:hAnsi="Times New Roman" w:cs="Times New Roman"/>
        </w:rPr>
        <w:t xml:space="preserve"> and </w:t>
      </w:r>
      <w:r w:rsidR="00DB0FD5" w:rsidRPr="007C56DF">
        <w:rPr>
          <w:rFonts w:ascii="Times New Roman" w:hAnsi="Times New Roman" w:cs="Times New Roman"/>
        </w:rPr>
        <w:t>criticism</w:t>
      </w:r>
      <w:r w:rsidRPr="007C56DF">
        <w:rPr>
          <w:rFonts w:ascii="Times New Roman" w:hAnsi="Times New Roman" w:cs="Times New Roman"/>
        </w:rPr>
        <w:t xml:space="preserve"> on a number of fronts for at least the last </w:t>
      </w:r>
      <w:r w:rsidR="0017649C" w:rsidRPr="007C56DF">
        <w:rPr>
          <w:rFonts w:ascii="Times New Roman" w:hAnsi="Times New Roman" w:cs="Times New Roman"/>
        </w:rPr>
        <w:t>4</w:t>
      </w:r>
      <w:r w:rsidRPr="007C56DF">
        <w:rPr>
          <w:rFonts w:ascii="Times New Roman" w:hAnsi="Times New Roman" w:cs="Times New Roman"/>
        </w:rPr>
        <w:t xml:space="preserve">0 years. </w:t>
      </w:r>
      <w:r w:rsidR="0017649C" w:rsidRPr="007C56DF">
        <w:rPr>
          <w:rFonts w:ascii="Times New Roman" w:hAnsi="Times New Roman" w:cs="Times New Roman"/>
        </w:rPr>
        <w:t>The critique has centered on three issues:  (a) how teachers should teach</w:t>
      </w:r>
      <w:r w:rsidR="00011A43" w:rsidRPr="007C56DF">
        <w:rPr>
          <w:rFonts w:ascii="Times New Roman" w:hAnsi="Times New Roman" w:cs="Times New Roman"/>
        </w:rPr>
        <w:t xml:space="preserve"> and the gap between various versions of the ideal and the reality</w:t>
      </w:r>
      <w:r w:rsidR="0017649C" w:rsidRPr="007C56DF">
        <w:rPr>
          <w:rFonts w:ascii="Times New Roman" w:hAnsi="Times New Roman" w:cs="Times New Roman"/>
        </w:rPr>
        <w:t xml:space="preserve">, (b) the nature of </w:t>
      </w:r>
      <w:r w:rsidR="00011A43" w:rsidRPr="007C56DF">
        <w:rPr>
          <w:rFonts w:ascii="Times New Roman" w:hAnsi="Times New Roman" w:cs="Times New Roman"/>
        </w:rPr>
        <w:t>teachers’</w:t>
      </w:r>
      <w:r w:rsidR="0017649C" w:rsidRPr="007C56DF">
        <w:rPr>
          <w:rFonts w:ascii="Times New Roman" w:hAnsi="Times New Roman" w:cs="Times New Roman"/>
        </w:rPr>
        <w:t xml:space="preserve"> preparation to teach, and (c) the</w:t>
      </w:r>
      <w:r w:rsidR="00011A43" w:rsidRPr="007C56DF">
        <w:rPr>
          <w:rFonts w:ascii="Times New Roman" w:hAnsi="Times New Roman" w:cs="Times New Roman"/>
        </w:rPr>
        <w:t xml:space="preserve"> </w:t>
      </w:r>
      <w:r w:rsidR="0017649C" w:rsidRPr="007C56DF">
        <w:rPr>
          <w:rFonts w:ascii="Times New Roman" w:hAnsi="Times New Roman" w:cs="Times New Roman"/>
        </w:rPr>
        <w:t>government</w:t>
      </w:r>
      <w:r w:rsidR="00011A43" w:rsidRPr="007C56DF">
        <w:rPr>
          <w:rFonts w:ascii="Times New Roman" w:hAnsi="Times New Roman" w:cs="Times New Roman"/>
        </w:rPr>
        <w:t>’s role</w:t>
      </w:r>
      <w:r w:rsidR="0017649C" w:rsidRPr="007C56DF">
        <w:rPr>
          <w:rFonts w:ascii="Times New Roman" w:hAnsi="Times New Roman" w:cs="Times New Roman"/>
        </w:rPr>
        <w:t xml:space="preserve"> in assuring the quality of education afforded to children from </w:t>
      </w:r>
      <w:r w:rsidR="0073528E" w:rsidRPr="007C56DF">
        <w:rPr>
          <w:rFonts w:ascii="Times New Roman" w:hAnsi="Times New Roman" w:cs="Times New Roman"/>
        </w:rPr>
        <w:t>preschool</w:t>
      </w:r>
      <w:r w:rsidR="0017649C" w:rsidRPr="007C56DF">
        <w:rPr>
          <w:rFonts w:ascii="Times New Roman" w:hAnsi="Times New Roman" w:cs="Times New Roman"/>
        </w:rPr>
        <w:t xml:space="preserve"> through high school graduation</w:t>
      </w:r>
      <w:r w:rsidR="0073528E" w:rsidRPr="007C56DF">
        <w:rPr>
          <w:rFonts w:ascii="Times New Roman" w:hAnsi="Times New Roman" w:cs="Times New Roman"/>
        </w:rPr>
        <w:t xml:space="preserve"> (abbreviated as P-12 in this paper)</w:t>
      </w:r>
      <w:r w:rsidR="0017649C" w:rsidRPr="007C56DF">
        <w:rPr>
          <w:rFonts w:ascii="Times New Roman" w:hAnsi="Times New Roman" w:cs="Times New Roman"/>
        </w:rPr>
        <w:t xml:space="preserve">.  </w:t>
      </w:r>
      <w:r w:rsidRPr="007C56DF">
        <w:rPr>
          <w:rFonts w:ascii="Times New Roman" w:hAnsi="Times New Roman" w:cs="Times New Roman"/>
        </w:rPr>
        <w:t>A number of reform efforts have sought to replace</w:t>
      </w:r>
      <w:r w:rsidR="00011A43" w:rsidRPr="007C56DF">
        <w:rPr>
          <w:rFonts w:ascii="Times New Roman" w:hAnsi="Times New Roman" w:cs="Times New Roman"/>
        </w:rPr>
        <w:t xml:space="preserve"> or contest</w:t>
      </w:r>
      <w:r w:rsidR="0017649C" w:rsidRPr="007C56DF">
        <w:rPr>
          <w:rFonts w:ascii="Times New Roman" w:hAnsi="Times New Roman" w:cs="Times New Roman"/>
        </w:rPr>
        <w:t xml:space="preserve"> existing</w:t>
      </w:r>
      <w:r w:rsidRPr="007C56DF">
        <w:rPr>
          <w:rFonts w:ascii="Times New Roman" w:hAnsi="Times New Roman" w:cs="Times New Roman"/>
        </w:rPr>
        <w:t xml:space="preserve"> systems of teacher education through alternative teacher education programs, alternative licensure routes, and charter schools</w:t>
      </w:r>
      <w:r w:rsidR="00902455" w:rsidRPr="007C56DF">
        <w:rPr>
          <w:rFonts w:ascii="Times New Roman" w:hAnsi="Times New Roman" w:cs="Times New Roman"/>
        </w:rPr>
        <w:t xml:space="preserve"> which, because of regulatory</w:t>
      </w:r>
      <w:r w:rsidR="00390590" w:rsidRPr="007C56DF">
        <w:rPr>
          <w:rFonts w:ascii="Times New Roman" w:hAnsi="Times New Roman" w:cs="Times New Roman"/>
        </w:rPr>
        <w:t xml:space="preserve"> affordances,</w:t>
      </w:r>
      <w:r w:rsidR="00902455" w:rsidRPr="007C56DF">
        <w:rPr>
          <w:rFonts w:ascii="Times New Roman" w:hAnsi="Times New Roman" w:cs="Times New Roman"/>
        </w:rPr>
        <w:t xml:space="preserve"> also offer avenues into the teaching profession</w:t>
      </w:r>
      <w:r w:rsidRPr="007C56DF">
        <w:rPr>
          <w:rFonts w:ascii="Times New Roman" w:hAnsi="Times New Roman" w:cs="Times New Roman"/>
        </w:rPr>
        <w:t xml:space="preserve">.  </w:t>
      </w:r>
      <w:r w:rsidRPr="007C56DF">
        <w:rPr>
          <w:rFonts w:ascii="Times New Roman" w:hAnsi="Times New Roman" w:cs="Times New Roman"/>
        </w:rPr>
        <w:lastRenderedPageBreak/>
        <w:t>The degree to which these alternative systems have influenced much less replaced the status quo can be debated</w:t>
      </w:r>
      <w:r w:rsidR="0017649C" w:rsidRPr="007C56DF">
        <w:rPr>
          <w:rFonts w:ascii="Times New Roman" w:hAnsi="Times New Roman" w:cs="Times New Roman"/>
        </w:rPr>
        <w:t xml:space="preserve">.  </w:t>
      </w:r>
      <w:r w:rsidR="00FF732F" w:rsidRPr="007C56DF">
        <w:rPr>
          <w:rFonts w:ascii="Times New Roman" w:hAnsi="Times New Roman" w:cs="Times New Roman"/>
        </w:rPr>
        <w:t>W</w:t>
      </w:r>
      <w:r w:rsidR="00650A23" w:rsidRPr="007C56DF">
        <w:rPr>
          <w:rFonts w:ascii="Times New Roman" w:hAnsi="Times New Roman" w:cs="Times New Roman"/>
        </w:rPr>
        <w:t xml:space="preserve">hile percentages vary, depending on the research study, at least </w:t>
      </w:r>
      <w:r w:rsidR="00DF7EED" w:rsidRPr="007C56DF">
        <w:rPr>
          <w:rFonts w:ascii="Times New Roman" w:hAnsi="Times New Roman" w:cs="Times New Roman"/>
        </w:rPr>
        <w:t>61% of</w:t>
      </w:r>
      <w:r w:rsidRPr="007C56DF">
        <w:rPr>
          <w:rFonts w:ascii="Times New Roman" w:hAnsi="Times New Roman" w:cs="Times New Roman"/>
        </w:rPr>
        <w:t xml:space="preserve"> teachers continue to be produced through traditional routes funneled through universities and into local and regional networks of schools</w:t>
      </w:r>
      <w:r w:rsidR="00FF732F" w:rsidRPr="007C56DF">
        <w:rPr>
          <w:rFonts w:ascii="Times New Roman" w:hAnsi="Times New Roman" w:cs="Times New Roman"/>
        </w:rPr>
        <w:t xml:space="preserve"> (Darling-Hammond &amp; Wei, 2009).  </w:t>
      </w:r>
      <w:r w:rsidR="00A27E66" w:rsidRPr="007C56DF">
        <w:rPr>
          <w:rFonts w:ascii="Times New Roman" w:hAnsi="Times New Roman" w:cs="Times New Roman"/>
        </w:rPr>
        <w:t xml:space="preserve"> </w:t>
      </w:r>
      <w:r w:rsidR="00A7711D" w:rsidRPr="007C56DF">
        <w:rPr>
          <w:rFonts w:ascii="Times New Roman" w:hAnsi="Times New Roman" w:cs="Times New Roman"/>
        </w:rPr>
        <w:t xml:space="preserve">Most teachers continue to accept their first teaching positions within 40 miles of where they graduated from high school (Kozleski, Artiles, </w:t>
      </w:r>
      <w:r w:rsidR="00902455" w:rsidRPr="007C56DF">
        <w:rPr>
          <w:rFonts w:ascii="Times New Roman" w:hAnsi="Times New Roman" w:cs="Times New Roman"/>
        </w:rPr>
        <w:t xml:space="preserve">McCray, </w:t>
      </w:r>
      <w:r w:rsidR="00A7711D" w:rsidRPr="007C56DF">
        <w:rPr>
          <w:rFonts w:ascii="Times New Roman" w:hAnsi="Times New Roman" w:cs="Times New Roman"/>
        </w:rPr>
        <w:t xml:space="preserve">&amp; Lacy, 2014). </w:t>
      </w:r>
      <w:r w:rsidR="00DF7EED" w:rsidRPr="007C56DF">
        <w:rPr>
          <w:rFonts w:ascii="Times New Roman" w:hAnsi="Times New Roman" w:cs="Times New Roman"/>
        </w:rPr>
        <w:t xml:space="preserve">In fact, this regionalized production of teachers leads to an unequal distribution of the workforce that is exacerbated by differences in the salary scales and working conditions among local school districts (Kozleski, Artiles, &amp; Lacy, 2014).   In spite of these challenges, recent research demonstrates that teachers who graduate from education programs </w:t>
      </w:r>
      <w:r w:rsidR="0073528E" w:rsidRPr="007C56DF">
        <w:rPr>
          <w:rFonts w:ascii="Times New Roman" w:hAnsi="Times New Roman" w:cs="Times New Roman"/>
        </w:rPr>
        <w:t>that focus on</w:t>
      </w:r>
      <w:r w:rsidR="00DF7EED" w:rsidRPr="007C56DF">
        <w:rPr>
          <w:rFonts w:ascii="Times New Roman" w:hAnsi="Times New Roman" w:cs="Times New Roman"/>
        </w:rPr>
        <w:t xml:space="preserve"> pedagogy</w:t>
      </w:r>
      <w:r w:rsidR="0073528E" w:rsidRPr="007C56DF">
        <w:rPr>
          <w:rFonts w:ascii="Times New Roman" w:hAnsi="Times New Roman" w:cs="Times New Roman"/>
        </w:rPr>
        <w:t xml:space="preserve">, </w:t>
      </w:r>
      <w:r w:rsidR="00DF7EED" w:rsidRPr="007C56DF">
        <w:rPr>
          <w:rFonts w:ascii="Times New Roman" w:hAnsi="Times New Roman" w:cs="Times New Roman"/>
        </w:rPr>
        <w:t>content knowledge</w:t>
      </w:r>
      <w:r w:rsidR="0073528E" w:rsidRPr="007C56DF">
        <w:rPr>
          <w:rFonts w:ascii="Times New Roman" w:hAnsi="Times New Roman" w:cs="Times New Roman"/>
        </w:rPr>
        <w:t xml:space="preserve">, </w:t>
      </w:r>
      <w:r w:rsidR="00B20B1B" w:rsidRPr="007C56DF">
        <w:rPr>
          <w:rFonts w:ascii="Times New Roman" w:hAnsi="Times New Roman" w:cs="Times New Roman"/>
        </w:rPr>
        <w:t xml:space="preserve">with an </w:t>
      </w:r>
      <w:r w:rsidR="0073528E" w:rsidRPr="007C56DF">
        <w:rPr>
          <w:rFonts w:ascii="Times New Roman" w:hAnsi="Times New Roman" w:cs="Times New Roman"/>
        </w:rPr>
        <w:t>extensive</w:t>
      </w:r>
      <w:r w:rsidR="00091CC7" w:rsidRPr="007C56DF">
        <w:rPr>
          <w:rFonts w:ascii="Times New Roman" w:hAnsi="Times New Roman" w:cs="Times New Roman"/>
        </w:rPr>
        <w:t>,</w:t>
      </w:r>
      <w:r w:rsidR="0073528E" w:rsidRPr="007C56DF">
        <w:rPr>
          <w:rFonts w:ascii="Times New Roman" w:hAnsi="Times New Roman" w:cs="Times New Roman"/>
        </w:rPr>
        <w:t xml:space="preserve"> mentored</w:t>
      </w:r>
      <w:r w:rsidR="00091CC7" w:rsidRPr="007C56DF">
        <w:rPr>
          <w:rFonts w:ascii="Times New Roman" w:hAnsi="Times New Roman" w:cs="Times New Roman"/>
        </w:rPr>
        <w:t>,</w:t>
      </w:r>
      <w:r w:rsidR="0073528E" w:rsidRPr="007C56DF">
        <w:rPr>
          <w:rFonts w:ascii="Times New Roman" w:hAnsi="Times New Roman" w:cs="Times New Roman"/>
        </w:rPr>
        <w:t xml:space="preserve"> practice</w:t>
      </w:r>
      <w:r w:rsidR="00B20B1B" w:rsidRPr="007C56DF">
        <w:rPr>
          <w:rFonts w:ascii="Times New Roman" w:hAnsi="Times New Roman" w:cs="Times New Roman"/>
        </w:rPr>
        <w:t xml:space="preserve"> component</w:t>
      </w:r>
      <w:r w:rsidR="00DF7EED" w:rsidRPr="007C56DF">
        <w:rPr>
          <w:rFonts w:ascii="Times New Roman" w:hAnsi="Times New Roman" w:cs="Times New Roman"/>
        </w:rPr>
        <w:t xml:space="preserve"> produce better learning outcomes for their students tha</w:t>
      </w:r>
      <w:r w:rsidR="0073528E" w:rsidRPr="007C56DF">
        <w:rPr>
          <w:rFonts w:ascii="Times New Roman" w:hAnsi="Times New Roman" w:cs="Times New Roman"/>
        </w:rPr>
        <w:t>n teachers without</w:t>
      </w:r>
      <w:r w:rsidR="00091CC7" w:rsidRPr="007C56DF">
        <w:rPr>
          <w:rFonts w:ascii="Times New Roman" w:hAnsi="Times New Roman" w:cs="Times New Roman"/>
        </w:rPr>
        <w:t xml:space="preserve"> </w:t>
      </w:r>
      <w:r w:rsidR="00011A43" w:rsidRPr="007C56DF">
        <w:rPr>
          <w:rFonts w:ascii="Times New Roman" w:hAnsi="Times New Roman" w:cs="Times New Roman"/>
        </w:rPr>
        <w:t xml:space="preserve">in depth </w:t>
      </w:r>
      <w:r w:rsidR="00091CC7" w:rsidRPr="007C56DF">
        <w:rPr>
          <w:rFonts w:ascii="Times New Roman" w:hAnsi="Times New Roman" w:cs="Times New Roman"/>
        </w:rPr>
        <w:t>content</w:t>
      </w:r>
      <w:r w:rsidR="00DF7EED" w:rsidRPr="007C56DF">
        <w:rPr>
          <w:rFonts w:ascii="Times New Roman" w:hAnsi="Times New Roman" w:cs="Times New Roman"/>
        </w:rPr>
        <w:t xml:space="preserve"> preparation</w:t>
      </w:r>
      <w:r w:rsidR="0073528E" w:rsidRPr="007C56DF">
        <w:rPr>
          <w:rFonts w:ascii="Times New Roman" w:hAnsi="Times New Roman" w:cs="Times New Roman"/>
        </w:rPr>
        <w:t xml:space="preserve"> or </w:t>
      </w:r>
      <w:r w:rsidR="00091CC7" w:rsidRPr="007C56DF">
        <w:rPr>
          <w:rFonts w:ascii="Times New Roman" w:hAnsi="Times New Roman" w:cs="Times New Roman"/>
        </w:rPr>
        <w:t>the</w:t>
      </w:r>
      <w:r w:rsidR="0073528E" w:rsidRPr="007C56DF">
        <w:rPr>
          <w:rFonts w:ascii="Times New Roman" w:hAnsi="Times New Roman" w:cs="Times New Roman"/>
        </w:rPr>
        <w:t xml:space="preserve"> extensive practice component</w:t>
      </w:r>
      <w:r w:rsidR="00DF7EED" w:rsidRPr="007C56DF">
        <w:rPr>
          <w:rFonts w:ascii="Times New Roman" w:hAnsi="Times New Roman" w:cs="Times New Roman"/>
        </w:rPr>
        <w:t xml:space="preserve"> </w:t>
      </w:r>
      <w:r w:rsidR="0013395B" w:rsidRPr="007C56DF">
        <w:rPr>
          <w:rFonts w:ascii="Times New Roman" w:hAnsi="Times New Roman" w:cs="Times New Roman"/>
        </w:rPr>
        <w:t>(Darling-Hammond &amp; Wei, 2009).</w:t>
      </w:r>
    </w:p>
    <w:p w14:paraId="03178AEF" w14:textId="5934DF63" w:rsidR="00F26D40" w:rsidRPr="007C56DF" w:rsidRDefault="0092253D" w:rsidP="007C56DF">
      <w:pPr>
        <w:rPr>
          <w:rFonts w:ascii="Times New Roman" w:hAnsi="Times New Roman" w:cs="Times New Roman"/>
        </w:rPr>
      </w:pPr>
      <w:r w:rsidRPr="007C56DF">
        <w:rPr>
          <w:rFonts w:ascii="Times New Roman" w:hAnsi="Times New Roman" w:cs="Times New Roman"/>
        </w:rPr>
        <w:t xml:space="preserve">In this paper, we take the stance that special educators’ preparation is inextricably linked to the preparation of </w:t>
      </w:r>
      <w:r w:rsidRPr="007C56DF">
        <w:rPr>
          <w:rFonts w:ascii="Times New Roman" w:hAnsi="Times New Roman" w:cs="Times New Roman"/>
          <w:i/>
        </w:rPr>
        <w:t>All</w:t>
      </w:r>
      <w:r w:rsidRPr="007C56DF">
        <w:rPr>
          <w:rFonts w:ascii="Times New Roman" w:hAnsi="Times New Roman" w:cs="Times New Roman"/>
        </w:rPr>
        <w:t xml:space="preserve"> teachers, while acknowledging the need for specialized knowledge of research-based practices that expand and support the educational progress of students with disabilities (Pugach, Blanton</w:t>
      </w:r>
      <w:r w:rsidR="00AF5B6C" w:rsidRPr="007C56DF">
        <w:rPr>
          <w:rFonts w:ascii="Times New Roman" w:hAnsi="Times New Roman" w:cs="Times New Roman"/>
        </w:rPr>
        <w:t>, &amp; Bovada, 2014</w:t>
      </w:r>
      <w:r w:rsidRPr="007C56DF">
        <w:rPr>
          <w:rFonts w:ascii="Times New Roman" w:hAnsi="Times New Roman" w:cs="Times New Roman"/>
        </w:rPr>
        <w:t xml:space="preserve">).  </w:t>
      </w:r>
      <w:r w:rsidR="00211BD8" w:rsidRPr="007C56DF">
        <w:rPr>
          <w:rFonts w:ascii="Times New Roman" w:hAnsi="Times New Roman" w:cs="Times New Roman"/>
        </w:rPr>
        <w:t>T</w:t>
      </w:r>
      <w:r w:rsidR="00967D46" w:rsidRPr="007C56DF">
        <w:rPr>
          <w:rFonts w:ascii="Times New Roman" w:hAnsi="Times New Roman" w:cs="Times New Roman"/>
        </w:rPr>
        <w:t>he impact of good teaching</w:t>
      </w:r>
      <w:r w:rsidR="00902455" w:rsidRPr="007C56DF">
        <w:rPr>
          <w:rFonts w:ascii="Times New Roman" w:hAnsi="Times New Roman" w:cs="Times New Roman"/>
        </w:rPr>
        <w:t>, a combination of deep knowledge about research-based practice, knowledge of learner needs, the design of learning environments</w:t>
      </w:r>
      <w:r w:rsidR="0088322E" w:rsidRPr="007C56DF">
        <w:rPr>
          <w:rFonts w:ascii="Times New Roman" w:hAnsi="Times New Roman" w:cs="Times New Roman"/>
        </w:rPr>
        <w:t>, content</w:t>
      </w:r>
      <w:r w:rsidR="00902455" w:rsidRPr="007C56DF">
        <w:rPr>
          <w:rFonts w:ascii="Times New Roman" w:hAnsi="Times New Roman" w:cs="Times New Roman"/>
        </w:rPr>
        <w:t xml:space="preserve"> knowledge and the ability to synthesize these streams to ensure success for individuals, </w:t>
      </w:r>
      <w:r w:rsidR="00967D46" w:rsidRPr="007C56DF">
        <w:rPr>
          <w:rFonts w:ascii="Times New Roman" w:hAnsi="Times New Roman" w:cs="Times New Roman"/>
        </w:rPr>
        <w:t>outweighs the effects of class size and composition</w:t>
      </w:r>
      <w:r w:rsidR="00902455" w:rsidRPr="007C56DF">
        <w:rPr>
          <w:rFonts w:ascii="Times New Roman" w:hAnsi="Times New Roman" w:cs="Times New Roman"/>
        </w:rPr>
        <w:t xml:space="preserve"> (</w:t>
      </w:r>
      <w:r w:rsidR="006C49D8" w:rsidRPr="007C56DF">
        <w:rPr>
          <w:rFonts w:ascii="Times New Roman" w:hAnsi="Times New Roman" w:cs="Times New Roman"/>
        </w:rPr>
        <w:t>Wilson, 2009</w:t>
      </w:r>
      <w:r w:rsidR="00902455" w:rsidRPr="007C56DF">
        <w:rPr>
          <w:rFonts w:ascii="Times New Roman" w:hAnsi="Times New Roman" w:cs="Times New Roman"/>
        </w:rPr>
        <w:t>)</w:t>
      </w:r>
      <w:r w:rsidR="00B20B1B" w:rsidRPr="007C56DF">
        <w:rPr>
          <w:rFonts w:ascii="Times New Roman" w:hAnsi="Times New Roman" w:cs="Times New Roman"/>
        </w:rPr>
        <w:t xml:space="preserve">. In fact, at times it is as </w:t>
      </w:r>
      <w:r w:rsidR="00967D46" w:rsidRPr="007C56DF">
        <w:rPr>
          <w:rFonts w:ascii="Times New Roman" w:hAnsi="Times New Roman" w:cs="Times New Roman"/>
        </w:rPr>
        <w:t xml:space="preserve">powerful as the influence of student background variables </w:t>
      </w:r>
      <w:r w:rsidR="0073528E" w:rsidRPr="007C56DF">
        <w:rPr>
          <w:rFonts w:ascii="Times New Roman" w:hAnsi="Times New Roman" w:cs="Times New Roman"/>
        </w:rPr>
        <w:t xml:space="preserve">on student learning outcomes </w:t>
      </w:r>
      <w:r w:rsidR="00967D46" w:rsidRPr="007C56DF">
        <w:rPr>
          <w:rFonts w:ascii="Times New Roman" w:hAnsi="Times New Roman" w:cs="Times New Roman"/>
        </w:rPr>
        <w:t>(Darli</w:t>
      </w:r>
      <w:r w:rsidR="00211BD8" w:rsidRPr="007C56DF">
        <w:rPr>
          <w:rFonts w:ascii="Times New Roman" w:hAnsi="Times New Roman" w:cs="Times New Roman"/>
        </w:rPr>
        <w:t>ng-Hammond &amp; Wei, 2009).   In recent years, a number of researchers have concluded that general education classrooms have robust effects on learning outcomes for students with disabilities</w:t>
      </w:r>
      <w:r w:rsidR="00076643" w:rsidRPr="007C56DF">
        <w:rPr>
          <w:rFonts w:ascii="Times New Roman" w:hAnsi="Times New Roman" w:cs="Times New Roman"/>
        </w:rPr>
        <w:t xml:space="preserve"> (</w:t>
      </w:r>
      <w:r w:rsidR="006C49D8" w:rsidRPr="007C56DF">
        <w:rPr>
          <w:rFonts w:ascii="Times New Roman" w:hAnsi="Times New Roman" w:cs="Times New Roman"/>
        </w:rPr>
        <w:t>Brownell, Sindelar, Kiely &amp; Danielson, 2010</w:t>
      </w:r>
      <w:r w:rsidR="00076643" w:rsidRPr="007C56DF">
        <w:rPr>
          <w:rFonts w:ascii="Times New Roman" w:hAnsi="Times New Roman" w:cs="Times New Roman"/>
        </w:rPr>
        <w:t>)</w:t>
      </w:r>
      <w:r w:rsidR="00211BD8" w:rsidRPr="007C56DF">
        <w:rPr>
          <w:rFonts w:ascii="Times New Roman" w:hAnsi="Times New Roman" w:cs="Times New Roman"/>
        </w:rPr>
        <w:t xml:space="preserve">.  The reasons for this are multifaceted </w:t>
      </w:r>
      <w:r w:rsidR="00211BD8" w:rsidRPr="007C56DF">
        <w:rPr>
          <w:rFonts w:ascii="Times New Roman" w:hAnsi="Times New Roman" w:cs="Times New Roman"/>
        </w:rPr>
        <w:lastRenderedPageBreak/>
        <w:t>and include the knowledge and skills of the practitioners as well as the power of learnin</w:t>
      </w:r>
      <w:r w:rsidR="003855ED" w:rsidRPr="007C56DF">
        <w:rPr>
          <w:rFonts w:ascii="Times New Roman" w:hAnsi="Times New Roman" w:cs="Times New Roman"/>
        </w:rPr>
        <w:t>g communities to support, model</w:t>
      </w:r>
      <w:r w:rsidR="00211BD8" w:rsidRPr="007C56DF">
        <w:rPr>
          <w:rFonts w:ascii="Times New Roman" w:hAnsi="Times New Roman" w:cs="Times New Roman"/>
        </w:rPr>
        <w:t>, and expand how individual st</w:t>
      </w:r>
      <w:r w:rsidR="00076643" w:rsidRPr="007C56DF">
        <w:rPr>
          <w:rFonts w:ascii="Times New Roman" w:hAnsi="Times New Roman" w:cs="Times New Roman"/>
        </w:rPr>
        <w:t>udent</w:t>
      </w:r>
      <w:r w:rsidR="00E62BF0" w:rsidRPr="007C56DF">
        <w:rPr>
          <w:rFonts w:ascii="Times New Roman" w:hAnsi="Times New Roman" w:cs="Times New Roman"/>
        </w:rPr>
        <w:t>s</w:t>
      </w:r>
      <w:r w:rsidR="00076643" w:rsidRPr="007C56DF">
        <w:rPr>
          <w:rFonts w:ascii="Times New Roman" w:hAnsi="Times New Roman" w:cs="Times New Roman"/>
        </w:rPr>
        <w:t xml:space="preserve"> access and act upon learning objects and activities (Kozleski &amp; Artiles, 2014).  </w:t>
      </w:r>
    </w:p>
    <w:p w14:paraId="6760B71D" w14:textId="07D7171A" w:rsidR="00076643" w:rsidRPr="007C56DF" w:rsidRDefault="00076643" w:rsidP="007C56DF">
      <w:pPr>
        <w:rPr>
          <w:rFonts w:ascii="Times New Roman" w:hAnsi="Times New Roman" w:cs="Times New Roman"/>
        </w:rPr>
      </w:pPr>
      <w:r w:rsidRPr="007C56DF">
        <w:rPr>
          <w:rFonts w:ascii="Times New Roman" w:hAnsi="Times New Roman" w:cs="Times New Roman"/>
        </w:rPr>
        <w:t>However, a</w:t>
      </w:r>
      <w:r w:rsidR="00DF7EED" w:rsidRPr="007C56DF">
        <w:rPr>
          <w:rFonts w:ascii="Times New Roman" w:hAnsi="Times New Roman" w:cs="Times New Roman"/>
        </w:rPr>
        <w:t xml:space="preserve"> continuing gap</w:t>
      </w:r>
      <w:r w:rsidRPr="007C56DF">
        <w:rPr>
          <w:rFonts w:ascii="Times New Roman" w:hAnsi="Times New Roman" w:cs="Times New Roman"/>
        </w:rPr>
        <w:t xml:space="preserve"> exists</w:t>
      </w:r>
      <w:r w:rsidR="00DF7EED" w:rsidRPr="007C56DF">
        <w:rPr>
          <w:rFonts w:ascii="Times New Roman" w:hAnsi="Times New Roman" w:cs="Times New Roman"/>
        </w:rPr>
        <w:t xml:space="preserve"> in teacher knowledge about the design and delivery of instruction for students with disabilities.  </w:t>
      </w:r>
      <w:r w:rsidR="0092253D" w:rsidRPr="007C56DF">
        <w:rPr>
          <w:rFonts w:ascii="Times New Roman" w:hAnsi="Times New Roman" w:cs="Times New Roman"/>
        </w:rPr>
        <w:t>Almost</w:t>
      </w:r>
      <w:r w:rsidR="00DF7EED" w:rsidRPr="007C56DF">
        <w:rPr>
          <w:rFonts w:ascii="Times New Roman" w:hAnsi="Times New Roman" w:cs="Times New Roman"/>
        </w:rPr>
        <w:t xml:space="preserve"> two-thirds of the six million students with disabilities in the nation’s schools are educated in general education classrooms (</w:t>
      </w:r>
      <w:r w:rsidR="002F2DFA" w:rsidRPr="007C56DF">
        <w:rPr>
          <w:rFonts w:ascii="Times New Roman" w:hAnsi="Times New Roman" w:cs="Times New Roman"/>
        </w:rPr>
        <w:t>Office of Special Education Programs, 2014</w:t>
      </w:r>
      <w:r w:rsidR="00DF7EED" w:rsidRPr="007C56DF">
        <w:rPr>
          <w:rFonts w:ascii="Times New Roman" w:hAnsi="Times New Roman" w:cs="Times New Roman"/>
        </w:rPr>
        <w:t>)</w:t>
      </w:r>
      <w:r w:rsidR="00AF5B6C" w:rsidRPr="007C56DF">
        <w:rPr>
          <w:rFonts w:ascii="Times New Roman" w:hAnsi="Times New Roman" w:cs="Times New Roman"/>
        </w:rPr>
        <w:t xml:space="preserve">.  General </w:t>
      </w:r>
      <w:r w:rsidR="00AF5B6C" w:rsidRPr="007C56DF">
        <w:rPr>
          <w:rFonts w:ascii="Times New Roman" w:hAnsi="Times New Roman" w:cs="Times New Roman"/>
          <w:i/>
        </w:rPr>
        <w:t>and</w:t>
      </w:r>
      <w:r w:rsidR="00AF5B6C" w:rsidRPr="007C56DF">
        <w:rPr>
          <w:rFonts w:ascii="Times New Roman" w:hAnsi="Times New Roman" w:cs="Times New Roman"/>
        </w:rPr>
        <w:t xml:space="preserve"> special educators are teaching students with disabilities</w:t>
      </w:r>
      <w:r w:rsidR="006930DC" w:rsidRPr="007C56DF">
        <w:rPr>
          <w:rFonts w:ascii="Times New Roman" w:hAnsi="Times New Roman" w:cs="Times New Roman"/>
        </w:rPr>
        <w:t xml:space="preserve"> through consultative and/or collaborative arrangements (Pugach, Blanton, &amp; Boveda, 2014).  </w:t>
      </w:r>
      <w:r w:rsidR="00DF7EED" w:rsidRPr="007C56DF">
        <w:rPr>
          <w:rFonts w:ascii="Times New Roman" w:hAnsi="Times New Roman" w:cs="Times New Roman"/>
        </w:rPr>
        <w:t xml:space="preserve"> Yet, </w:t>
      </w:r>
      <w:r w:rsidR="002F2DFA" w:rsidRPr="007C56DF">
        <w:rPr>
          <w:rFonts w:ascii="Times New Roman" w:hAnsi="Times New Roman" w:cs="Times New Roman"/>
        </w:rPr>
        <w:t xml:space="preserve">a current review of licensure requirements shows that </w:t>
      </w:r>
      <w:r w:rsidR="00DF7EED" w:rsidRPr="007C56DF">
        <w:rPr>
          <w:rFonts w:ascii="Times New Roman" w:hAnsi="Times New Roman" w:cs="Times New Roman"/>
        </w:rPr>
        <w:t xml:space="preserve">in most states, </w:t>
      </w:r>
      <w:r w:rsidR="00AA7F89" w:rsidRPr="007C56DF">
        <w:rPr>
          <w:rFonts w:ascii="Times New Roman" w:hAnsi="Times New Roman" w:cs="Times New Roman"/>
        </w:rPr>
        <w:t xml:space="preserve">general education </w:t>
      </w:r>
      <w:r w:rsidR="00DF7EED" w:rsidRPr="007C56DF">
        <w:rPr>
          <w:rFonts w:ascii="Times New Roman" w:hAnsi="Times New Roman" w:cs="Times New Roman"/>
        </w:rPr>
        <w:t xml:space="preserve">teachers are required to </w:t>
      </w:r>
      <w:r w:rsidR="0092253D" w:rsidRPr="007C56DF">
        <w:rPr>
          <w:rFonts w:ascii="Times New Roman" w:hAnsi="Times New Roman" w:cs="Times New Roman"/>
        </w:rPr>
        <w:t xml:space="preserve">complete a </w:t>
      </w:r>
      <w:r w:rsidR="0054348C" w:rsidRPr="007C56DF">
        <w:rPr>
          <w:rFonts w:ascii="Times New Roman" w:hAnsi="Times New Roman" w:cs="Times New Roman"/>
        </w:rPr>
        <w:t xml:space="preserve">single </w:t>
      </w:r>
      <w:r w:rsidR="00DF7EED" w:rsidRPr="007C56DF">
        <w:rPr>
          <w:rFonts w:ascii="Times New Roman" w:hAnsi="Times New Roman" w:cs="Times New Roman"/>
        </w:rPr>
        <w:t>course in special education</w:t>
      </w:r>
      <w:r w:rsidR="0092253D" w:rsidRPr="007C56DF">
        <w:rPr>
          <w:rFonts w:ascii="Times New Roman" w:hAnsi="Times New Roman" w:cs="Times New Roman"/>
        </w:rPr>
        <w:t xml:space="preserve"> with no requirement for mediated or coached practice with students with disabilities in the applied portion of their programs</w:t>
      </w:r>
      <w:r w:rsidR="00DF7EED" w:rsidRPr="007C56DF">
        <w:rPr>
          <w:rFonts w:ascii="Times New Roman" w:hAnsi="Times New Roman" w:cs="Times New Roman"/>
        </w:rPr>
        <w:t xml:space="preserve">. </w:t>
      </w:r>
      <w:r w:rsidRPr="007C56DF">
        <w:rPr>
          <w:rFonts w:ascii="Times New Roman" w:hAnsi="Times New Roman" w:cs="Times New Roman"/>
        </w:rPr>
        <w:t xml:space="preserve"> This was the case in the seventies when the original federal legislation guarantee</w:t>
      </w:r>
      <w:r w:rsidR="002F2DFA" w:rsidRPr="007C56DF">
        <w:rPr>
          <w:rFonts w:ascii="Times New Roman" w:hAnsi="Times New Roman" w:cs="Times New Roman"/>
        </w:rPr>
        <w:t>d</w:t>
      </w:r>
      <w:r w:rsidRPr="007C56DF">
        <w:rPr>
          <w:rFonts w:ascii="Times New Roman" w:hAnsi="Times New Roman" w:cs="Times New Roman"/>
        </w:rPr>
        <w:t xml:space="preserve"> children with disabilities access to free and appropriate education.  It continues to be the case now that children with disabilities are likely to be members of general e</w:t>
      </w:r>
      <w:r w:rsidR="00011A43" w:rsidRPr="007C56DF">
        <w:rPr>
          <w:rFonts w:ascii="Times New Roman" w:hAnsi="Times New Roman" w:cs="Times New Roman"/>
        </w:rPr>
        <w:t>ducation classrooms.  And, while</w:t>
      </w:r>
      <w:r w:rsidRPr="007C56DF">
        <w:rPr>
          <w:rFonts w:ascii="Times New Roman" w:hAnsi="Times New Roman" w:cs="Times New Roman"/>
        </w:rPr>
        <w:t xml:space="preserve"> we know that the context has changed and continues to change, </w:t>
      </w:r>
      <w:r w:rsidR="002C45B4" w:rsidRPr="007C56DF">
        <w:rPr>
          <w:rFonts w:ascii="Times New Roman" w:hAnsi="Times New Roman" w:cs="Times New Roman"/>
        </w:rPr>
        <w:t>not enough is</w:t>
      </w:r>
      <w:r w:rsidRPr="007C56DF">
        <w:rPr>
          <w:rFonts w:ascii="Times New Roman" w:hAnsi="Times New Roman" w:cs="Times New Roman"/>
        </w:rPr>
        <w:t xml:space="preserve"> done in most elementary and secondary teacher education programs to help teachers prepare for this eventual</w:t>
      </w:r>
      <w:r w:rsidR="00011A43" w:rsidRPr="007C56DF">
        <w:rPr>
          <w:rFonts w:ascii="Times New Roman" w:hAnsi="Times New Roman" w:cs="Times New Roman"/>
        </w:rPr>
        <w:t>it</w:t>
      </w:r>
      <w:r w:rsidRPr="007C56DF">
        <w:rPr>
          <w:rFonts w:ascii="Times New Roman" w:hAnsi="Times New Roman" w:cs="Times New Roman"/>
        </w:rPr>
        <w:t>y.</w:t>
      </w:r>
      <w:r w:rsidR="006930DC" w:rsidRPr="007C56DF">
        <w:rPr>
          <w:rFonts w:ascii="Times New Roman" w:hAnsi="Times New Roman" w:cs="Times New Roman"/>
        </w:rPr>
        <w:t xml:space="preserve">  Further, research on learning to practice collaboratively as well </w:t>
      </w:r>
      <w:r w:rsidR="00402088" w:rsidRPr="007C56DF">
        <w:rPr>
          <w:rFonts w:ascii="Times New Roman" w:hAnsi="Times New Roman" w:cs="Times New Roman"/>
        </w:rPr>
        <w:t xml:space="preserve">as </w:t>
      </w:r>
      <w:r w:rsidR="006930DC" w:rsidRPr="007C56DF">
        <w:rPr>
          <w:rFonts w:ascii="Times New Roman" w:hAnsi="Times New Roman" w:cs="Times New Roman"/>
        </w:rPr>
        <w:t xml:space="preserve">design programs with </w:t>
      </w:r>
      <w:r w:rsidR="00583940" w:rsidRPr="007C56DF">
        <w:rPr>
          <w:rFonts w:ascii="Times New Roman" w:hAnsi="Times New Roman" w:cs="Times New Roman"/>
        </w:rPr>
        <w:t>the</w:t>
      </w:r>
      <w:r w:rsidR="006930DC" w:rsidRPr="007C56DF">
        <w:rPr>
          <w:rFonts w:ascii="Times New Roman" w:hAnsi="Times New Roman" w:cs="Times New Roman"/>
        </w:rPr>
        <w:t xml:space="preserve"> intention</w:t>
      </w:r>
      <w:r w:rsidR="00583940" w:rsidRPr="007C56DF">
        <w:rPr>
          <w:rFonts w:ascii="Times New Roman" w:hAnsi="Times New Roman" w:cs="Times New Roman"/>
        </w:rPr>
        <w:t xml:space="preserve"> to redesign the general education curriculum to account for learning differences in meaningful practice</w:t>
      </w:r>
      <w:r w:rsidR="006930DC" w:rsidRPr="007C56DF">
        <w:rPr>
          <w:rFonts w:ascii="Times New Roman" w:hAnsi="Times New Roman" w:cs="Times New Roman"/>
        </w:rPr>
        <w:t xml:space="preserve"> </w:t>
      </w:r>
      <w:r w:rsidR="00402088" w:rsidRPr="007C56DF">
        <w:rPr>
          <w:rFonts w:ascii="Times New Roman" w:hAnsi="Times New Roman" w:cs="Times New Roman"/>
        </w:rPr>
        <w:t xml:space="preserve">is </w:t>
      </w:r>
      <w:r w:rsidR="006930DC" w:rsidRPr="007C56DF">
        <w:rPr>
          <w:rFonts w:ascii="Times New Roman" w:hAnsi="Times New Roman" w:cs="Times New Roman"/>
        </w:rPr>
        <w:t xml:space="preserve">still emerging (Pugach, Blanton, &amp; Boveda, 2014).  </w:t>
      </w:r>
    </w:p>
    <w:p w14:paraId="744D9B31" w14:textId="39D26727" w:rsidR="0017649C" w:rsidRPr="007C56DF" w:rsidRDefault="00DF7EED" w:rsidP="007C56DF">
      <w:pPr>
        <w:rPr>
          <w:rFonts w:ascii="Times New Roman" w:hAnsi="Times New Roman" w:cs="Times New Roman"/>
        </w:rPr>
      </w:pPr>
      <w:r w:rsidRPr="007C56DF">
        <w:rPr>
          <w:rFonts w:ascii="Times New Roman" w:hAnsi="Times New Roman" w:cs="Times New Roman"/>
        </w:rPr>
        <w:t xml:space="preserve"> </w:t>
      </w:r>
      <w:r w:rsidR="00583940" w:rsidRPr="007C56DF">
        <w:rPr>
          <w:rFonts w:ascii="Times New Roman" w:hAnsi="Times New Roman" w:cs="Times New Roman"/>
        </w:rPr>
        <w:t>In spite of a number of programs that built more extensive collaborative experiences into their general education curriculum, t</w:t>
      </w:r>
      <w:r w:rsidR="006D33A3" w:rsidRPr="007C56DF">
        <w:rPr>
          <w:rFonts w:ascii="Times New Roman" w:hAnsi="Times New Roman" w:cs="Times New Roman"/>
        </w:rPr>
        <w:t>h</w:t>
      </w:r>
      <w:r w:rsidR="00076643" w:rsidRPr="007C56DF">
        <w:rPr>
          <w:rFonts w:ascii="Times New Roman" w:hAnsi="Times New Roman" w:cs="Times New Roman"/>
        </w:rPr>
        <w:t xml:space="preserve">e special education course in most teacher education </w:t>
      </w:r>
      <w:r w:rsidR="00402088" w:rsidRPr="007C56DF">
        <w:rPr>
          <w:rFonts w:ascii="Times New Roman" w:hAnsi="Times New Roman" w:cs="Times New Roman"/>
        </w:rPr>
        <w:t>curricula</w:t>
      </w:r>
      <w:r w:rsidR="006D33A3" w:rsidRPr="007C56DF">
        <w:rPr>
          <w:rFonts w:ascii="Times New Roman" w:hAnsi="Times New Roman" w:cs="Times New Roman"/>
        </w:rPr>
        <w:t xml:space="preserve"> is likely to focus on </w:t>
      </w:r>
      <w:r w:rsidR="006F649B" w:rsidRPr="007C56DF">
        <w:rPr>
          <w:rFonts w:ascii="Times New Roman" w:hAnsi="Times New Roman" w:cs="Times New Roman"/>
        </w:rPr>
        <w:t>the disability</w:t>
      </w:r>
      <w:r w:rsidR="006D33A3" w:rsidRPr="007C56DF">
        <w:rPr>
          <w:rFonts w:ascii="Times New Roman" w:hAnsi="Times New Roman" w:cs="Times New Roman"/>
        </w:rPr>
        <w:t xml:space="preserve"> categories that comprise the types of educational disabilities recognized in national law</w:t>
      </w:r>
      <w:r w:rsidR="00200DA1" w:rsidRPr="007C56DF">
        <w:rPr>
          <w:rFonts w:ascii="Times New Roman" w:hAnsi="Times New Roman" w:cs="Times New Roman"/>
        </w:rPr>
        <w:t xml:space="preserve"> (</w:t>
      </w:r>
      <w:r w:rsidR="00945E8F" w:rsidRPr="007C56DF">
        <w:rPr>
          <w:rFonts w:ascii="Times New Roman" w:hAnsi="Times New Roman" w:cs="Times New Roman"/>
        </w:rPr>
        <w:t>Brantlinger, 2006</w:t>
      </w:r>
      <w:r w:rsidR="00200DA1" w:rsidRPr="007C56DF">
        <w:rPr>
          <w:rFonts w:ascii="Times New Roman" w:hAnsi="Times New Roman" w:cs="Times New Roman"/>
        </w:rPr>
        <w:t>)</w:t>
      </w:r>
      <w:r w:rsidR="0073528E" w:rsidRPr="007C56DF">
        <w:rPr>
          <w:rFonts w:ascii="Times New Roman" w:hAnsi="Times New Roman" w:cs="Times New Roman"/>
        </w:rPr>
        <w:t xml:space="preserve"> with brief exposure to assessment and </w:t>
      </w:r>
      <w:r w:rsidR="0073528E" w:rsidRPr="007C56DF">
        <w:rPr>
          <w:rFonts w:ascii="Times New Roman" w:hAnsi="Times New Roman" w:cs="Times New Roman"/>
        </w:rPr>
        <w:lastRenderedPageBreak/>
        <w:t>instructional methods.</w:t>
      </w:r>
      <w:r w:rsidR="006D33A3" w:rsidRPr="007C56DF">
        <w:rPr>
          <w:rFonts w:ascii="Times New Roman" w:hAnsi="Times New Roman" w:cs="Times New Roman"/>
        </w:rPr>
        <w:t xml:space="preserve">  </w:t>
      </w:r>
      <w:r w:rsidR="00076643" w:rsidRPr="007C56DF">
        <w:rPr>
          <w:rFonts w:ascii="Times New Roman" w:hAnsi="Times New Roman" w:cs="Times New Roman"/>
        </w:rPr>
        <w:t xml:space="preserve">Further, teacher candidates complete the single course without any sustained interaction with students with disabilities so that their ability to translate and enact what they have learned is questionable.  </w:t>
      </w:r>
      <w:r w:rsidR="00C501DF" w:rsidRPr="007C56DF">
        <w:rPr>
          <w:rFonts w:ascii="Times New Roman" w:hAnsi="Times New Roman" w:cs="Times New Roman"/>
        </w:rPr>
        <w:t xml:space="preserve">And, even if they are in programs with extensive clinical experiences, the clinical focus is </w:t>
      </w:r>
      <w:r w:rsidR="00583940" w:rsidRPr="007C56DF">
        <w:rPr>
          <w:rFonts w:ascii="Times New Roman" w:hAnsi="Times New Roman" w:cs="Times New Roman"/>
        </w:rPr>
        <w:t xml:space="preserve">rarely </w:t>
      </w:r>
      <w:r w:rsidR="00C501DF" w:rsidRPr="007C56DF">
        <w:rPr>
          <w:rFonts w:ascii="Times New Roman" w:hAnsi="Times New Roman" w:cs="Times New Roman"/>
        </w:rPr>
        <w:t>on success with students with disabilities.</w:t>
      </w:r>
      <w:r w:rsidR="007A60A2" w:rsidRPr="007C56DF">
        <w:rPr>
          <w:rFonts w:ascii="Times New Roman" w:hAnsi="Times New Roman" w:cs="Times New Roman"/>
        </w:rPr>
        <w:t xml:space="preserve">  However, a handful of studies have shown that, where teacher candidates have the opportunity to work in classrooms that include students with disabilities as part of their clinical experiences, they tend to have more positive attitudes towards teaching students with disabilities in their classrooms (Pugach, 2005).  </w:t>
      </w:r>
      <w:r w:rsidR="00C501DF" w:rsidRPr="007C56DF">
        <w:rPr>
          <w:rFonts w:ascii="Times New Roman" w:hAnsi="Times New Roman" w:cs="Times New Roman"/>
        </w:rPr>
        <w:t xml:space="preserve">  </w:t>
      </w:r>
      <w:r w:rsidR="006D33A3" w:rsidRPr="007C56DF">
        <w:rPr>
          <w:rFonts w:ascii="Times New Roman" w:hAnsi="Times New Roman" w:cs="Times New Roman"/>
        </w:rPr>
        <w:t>Teacher candidates are likely to have no further formal education on students with disabilities prior to taking their first job.  While students with disabilities continue to improve their performance on standardized accountability measures, t</w:t>
      </w:r>
      <w:r w:rsidR="00105810" w:rsidRPr="007C56DF">
        <w:rPr>
          <w:rFonts w:ascii="Times New Roman" w:hAnsi="Times New Roman" w:cs="Times New Roman"/>
        </w:rPr>
        <w:t>he 56% graduation rate for students with disabilities is far below the average graduate rate for students without disabilities of 80%</w:t>
      </w:r>
      <w:r w:rsidR="006D33A3" w:rsidRPr="007C56DF">
        <w:rPr>
          <w:rFonts w:ascii="Times New Roman" w:hAnsi="Times New Roman" w:cs="Times New Roman"/>
        </w:rPr>
        <w:t xml:space="preserve"> (</w:t>
      </w:r>
      <w:r w:rsidR="0096424C" w:rsidRPr="007C56DF">
        <w:rPr>
          <w:rFonts w:ascii="Times New Roman" w:hAnsi="Times New Roman" w:cs="Times New Roman"/>
        </w:rPr>
        <w:t>Stetser &amp; Stillwell, 2014</w:t>
      </w:r>
      <w:r w:rsidR="006D33A3" w:rsidRPr="007C56DF">
        <w:rPr>
          <w:rFonts w:ascii="Times New Roman" w:hAnsi="Times New Roman" w:cs="Times New Roman"/>
        </w:rPr>
        <w:t xml:space="preserve">).  </w:t>
      </w:r>
    </w:p>
    <w:p w14:paraId="652FDFA4" w14:textId="78A37A3B" w:rsidR="00A73955" w:rsidRPr="007C56DF" w:rsidRDefault="00A73955" w:rsidP="007C56DF">
      <w:pPr>
        <w:ind w:firstLine="0"/>
        <w:rPr>
          <w:rFonts w:ascii="Times New Roman" w:hAnsi="Times New Roman" w:cs="Times New Roman"/>
          <w:b/>
        </w:rPr>
      </w:pPr>
      <w:r w:rsidRPr="007C56DF">
        <w:rPr>
          <w:rFonts w:ascii="Times New Roman" w:hAnsi="Times New Roman" w:cs="Times New Roman"/>
          <w:b/>
        </w:rPr>
        <w:t>What Can be Done</w:t>
      </w:r>
    </w:p>
    <w:p w14:paraId="2BB7AF25" w14:textId="5322FC84" w:rsidR="009F5C3F" w:rsidRPr="007C56DF" w:rsidRDefault="006D33A3" w:rsidP="007C56DF">
      <w:pPr>
        <w:rPr>
          <w:rFonts w:ascii="Times New Roman" w:hAnsi="Times New Roman" w:cs="Times New Roman"/>
        </w:rPr>
      </w:pPr>
      <w:r w:rsidRPr="007C56DF">
        <w:rPr>
          <w:rFonts w:ascii="Times New Roman" w:hAnsi="Times New Roman" w:cs="Times New Roman"/>
        </w:rPr>
        <w:t xml:space="preserve">If substantial progress is to be made on improving outcomes for students with disabilities, </w:t>
      </w:r>
      <w:r w:rsidR="00AA7F89" w:rsidRPr="007C56DF">
        <w:rPr>
          <w:rFonts w:ascii="Times New Roman" w:hAnsi="Times New Roman" w:cs="Times New Roman"/>
        </w:rPr>
        <w:t xml:space="preserve">general education </w:t>
      </w:r>
      <w:r w:rsidRPr="007C56DF">
        <w:rPr>
          <w:rFonts w:ascii="Times New Roman" w:hAnsi="Times New Roman" w:cs="Times New Roman"/>
        </w:rPr>
        <w:t>teacher</w:t>
      </w:r>
      <w:r w:rsidR="00967D46" w:rsidRPr="007C56DF">
        <w:rPr>
          <w:rFonts w:ascii="Times New Roman" w:hAnsi="Times New Roman" w:cs="Times New Roman"/>
        </w:rPr>
        <w:t>s</w:t>
      </w:r>
      <w:r w:rsidR="00C55799" w:rsidRPr="007C56DF">
        <w:rPr>
          <w:rFonts w:ascii="Times New Roman" w:hAnsi="Times New Roman" w:cs="Times New Roman"/>
        </w:rPr>
        <w:t xml:space="preserve"> must</w:t>
      </w:r>
      <w:r w:rsidR="00967D46" w:rsidRPr="007C56DF">
        <w:rPr>
          <w:rFonts w:ascii="Times New Roman" w:hAnsi="Times New Roman" w:cs="Times New Roman"/>
        </w:rPr>
        <w:t xml:space="preserve"> learn to design and deliver powerful learning </w:t>
      </w:r>
      <w:r w:rsidR="0073528E" w:rsidRPr="007C56DF">
        <w:rPr>
          <w:rFonts w:ascii="Times New Roman" w:hAnsi="Times New Roman" w:cs="Times New Roman"/>
        </w:rPr>
        <w:t>experiences</w:t>
      </w:r>
      <w:r w:rsidR="00967D46" w:rsidRPr="007C56DF">
        <w:rPr>
          <w:rFonts w:ascii="Times New Roman" w:hAnsi="Times New Roman" w:cs="Times New Roman"/>
        </w:rPr>
        <w:t xml:space="preserve"> that account for the diversity of their students</w:t>
      </w:r>
      <w:r w:rsidR="006930DC" w:rsidRPr="007C56DF">
        <w:rPr>
          <w:rFonts w:ascii="Times New Roman" w:hAnsi="Times New Roman" w:cs="Times New Roman"/>
        </w:rPr>
        <w:t>.  While this paper focuses specifically on teacher education for students with disabilities, diversity in schools extends across a number of groups of learners who have been historically minoritized in schools.  Educating teachers to teach diverse populations of learners</w:t>
      </w:r>
      <w:r w:rsidRPr="007C56DF">
        <w:rPr>
          <w:rFonts w:ascii="Times New Roman" w:hAnsi="Times New Roman" w:cs="Times New Roman"/>
        </w:rPr>
        <w:t xml:space="preserve"> is no small task since there are a number of policy initiatives that could derail or sidetrack such an effort.  </w:t>
      </w:r>
      <w:r w:rsidRPr="00E70C98">
        <w:rPr>
          <w:rFonts w:ascii="Times New Roman" w:hAnsi="Times New Roman" w:cs="Times New Roman"/>
        </w:rPr>
        <w:t xml:space="preserve">For instance, </w:t>
      </w:r>
      <w:r w:rsidR="0017649C" w:rsidRPr="00E70C98">
        <w:rPr>
          <w:rFonts w:ascii="Times New Roman" w:hAnsi="Times New Roman" w:cs="Times New Roman"/>
        </w:rPr>
        <w:t>t</w:t>
      </w:r>
      <w:r w:rsidR="0004551E" w:rsidRPr="00E70C98">
        <w:rPr>
          <w:rFonts w:ascii="Times New Roman" w:hAnsi="Times New Roman" w:cs="Times New Roman"/>
        </w:rPr>
        <w:t>he National Council on</w:t>
      </w:r>
      <w:r w:rsidR="00FF5EE0" w:rsidRPr="00E70C98">
        <w:rPr>
          <w:rFonts w:ascii="Times New Roman" w:hAnsi="Times New Roman" w:cs="Times New Roman"/>
        </w:rPr>
        <w:t xml:space="preserve"> Teacher Quality has emerged to </w:t>
      </w:r>
      <w:r w:rsidR="0004551E" w:rsidRPr="00E70C98">
        <w:rPr>
          <w:rFonts w:ascii="Times New Roman" w:hAnsi="Times New Roman" w:cs="Times New Roman"/>
        </w:rPr>
        <w:t>rate existing teacher education programs</w:t>
      </w:r>
      <w:r w:rsidR="00274E8A" w:rsidRPr="00E70C98">
        <w:rPr>
          <w:rFonts w:ascii="Times New Roman" w:hAnsi="Times New Roman" w:cs="Times New Roman"/>
        </w:rPr>
        <w:t xml:space="preserve">, springing neither from the profession itself nor </w:t>
      </w:r>
      <w:r w:rsidR="00AA7F89" w:rsidRPr="00E70C98">
        <w:rPr>
          <w:rFonts w:ascii="Times New Roman" w:hAnsi="Times New Roman" w:cs="Times New Roman"/>
        </w:rPr>
        <w:t>the</w:t>
      </w:r>
      <w:r w:rsidR="00274E8A" w:rsidRPr="00E70C98">
        <w:rPr>
          <w:rFonts w:ascii="Times New Roman" w:hAnsi="Times New Roman" w:cs="Times New Roman"/>
        </w:rPr>
        <w:t xml:space="preserve"> sizable body of research about the practice of teaching and its relationship to the local and state educational systems that re</w:t>
      </w:r>
      <w:r w:rsidR="00325BD8" w:rsidRPr="00E70C98">
        <w:rPr>
          <w:rFonts w:ascii="Times New Roman" w:hAnsi="Times New Roman" w:cs="Times New Roman"/>
        </w:rPr>
        <w:t>gulate and assess their outcomes (</w:t>
      </w:r>
      <w:r w:rsidR="002C45B4" w:rsidRPr="00E70C98">
        <w:rPr>
          <w:rFonts w:ascii="Times New Roman" w:hAnsi="Times New Roman" w:cs="Times New Roman"/>
        </w:rPr>
        <w:t>Mamlin, 2012</w:t>
      </w:r>
      <w:r w:rsidR="00325BD8" w:rsidRPr="00E70C98">
        <w:rPr>
          <w:rFonts w:ascii="Times New Roman" w:hAnsi="Times New Roman" w:cs="Times New Roman"/>
        </w:rPr>
        <w:t>)</w:t>
      </w:r>
      <w:r w:rsidR="00274E8A" w:rsidRPr="00E70C98">
        <w:rPr>
          <w:rFonts w:ascii="Times New Roman" w:hAnsi="Times New Roman" w:cs="Times New Roman"/>
        </w:rPr>
        <w:t>.</w:t>
      </w:r>
    </w:p>
    <w:p w14:paraId="4D5E0E7C" w14:textId="10540950" w:rsidR="008E6AD4" w:rsidRPr="007C56DF" w:rsidRDefault="00274E8A" w:rsidP="007C56DF">
      <w:pPr>
        <w:rPr>
          <w:rFonts w:ascii="Times New Roman" w:hAnsi="Times New Roman" w:cs="Times New Roman"/>
        </w:rPr>
      </w:pPr>
      <w:r w:rsidRPr="007C56DF">
        <w:rPr>
          <w:rFonts w:ascii="Times New Roman" w:hAnsi="Times New Roman" w:cs="Times New Roman"/>
        </w:rPr>
        <w:lastRenderedPageBreak/>
        <w:t xml:space="preserve"> </w:t>
      </w:r>
      <w:r w:rsidR="00D34215" w:rsidRPr="007C56DF">
        <w:rPr>
          <w:rFonts w:ascii="Times New Roman" w:hAnsi="Times New Roman" w:cs="Times New Roman"/>
        </w:rPr>
        <w:t xml:space="preserve">Simultaneously, schools and states </w:t>
      </w:r>
      <w:r w:rsidR="00200DA1" w:rsidRPr="007C56DF">
        <w:rPr>
          <w:rFonts w:ascii="Times New Roman" w:hAnsi="Times New Roman" w:cs="Times New Roman"/>
        </w:rPr>
        <w:t xml:space="preserve">continue </w:t>
      </w:r>
      <w:r w:rsidR="00D34215" w:rsidRPr="007C56DF">
        <w:rPr>
          <w:rFonts w:ascii="Times New Roman" w:hAnsi="Times New Roman" w:cs="Times New Roman"/>
        </w:rPr>
        <w:t xml:space="preserve">to reconceptualize what counts as knowledge, what </w:t>
      </w:r>
      <w:r w:rsidR="00C55799" w:rsidRPr="007C56DF">
        <w:rPr>
          <w:rFonts w:ascii="Times New Roman" w:hAnsi="Times New Roman" w:cs="Times New Roman"/>
        </w:rPr>
        <w:t>high school outcomes should be</w:t>
      </w:r>
      <w:r w:rsidR="00D34215" w:rsidRPr="007C56DF">
        <w:rPr>
          <w:rFonts w:ascii="Times New Roman" w:hAnsi="Times New Roman" w:cs="Times New Roman"/>
        </w:rPr>
        <w:t xml:space="preserve">, and how to measure and these shifts to a skeptical public.  </w:t>
      </w:r>
      <w:r w:rsidR="00200DA1" w:rsidRPr="007C56DF">
        <w:rPr>
          <w:rFonts w:ascii="Times New Roman" w:hAnsi="Times New Roman" w:cs="Times New Roman"/>
        </w:rPr>
        <w:t xml:space="preserve">These professional and political efforts to reframe education exist within a public context that seems quixotic at best.  </w:t>
      </w:r>
      <w:r w:rsidR="00D34215" w:rsidRPr="007C56DF">
        <w:rPr>
          <w:rFonts w:ascii="Times New Roman" w:hAnsi="Times New Roman" w:cs="Times New Roman"/>
        </w:rPr>
        <w:t xml:space="preserve">While families tend to report being happy with their children’s teachers, polls of American communities find over and over again that Americans are unhappy with the education system and </w:t>
      </w:r>
      <w:r w:rsidR="00AA7F89" w:rsidRPr="007C56DF">
        <w:rPr>
          <w:rFonts w:ascii="Times New Roman" w:hAnsi="Times New Roman" w:cs="Times New Roman"/>
        </w:rPr>
        <w:t>th</w:t>
      </w:r>
      <w:r w:rsidR="00BF79D4" w:rsidRPr="007C56DF">
        <w:rPr>
          <w:rFonts w:ascii="Times New Roman" w:hAnsi="Times New Roman" w:cs="Times New Roman"/>
        </w:rPr>
        <w:t>e skills</w:t>
      </w:r>
      <w:r w:rsidR="00C55799" w:rsidRPr="007C56DF">
        <w:rPr>
          <w:rFonts w:ascii="Times New Roman" w:hAnsi="Times New Roman" w:cs="Times New Roman"/>
        </w:rPr>
        <w:t xml:space="preserve"> of</w:t>
      </w:r>
      <w:r w:rsidR="00BF79D4" w:rsidRPr="007C56DF">
        <w:rPr>
          <w:rFonts w:ascii="Times New Roman" w:hAnsi="Times New Roman" w:cs="Times New Roman"/>
        </w:rPr>
        <w:t xml:space="preserve"> its graduates </w:t>
      </w:r>
      <w:r w:rsidR="00E80BF3" w:rsidRPr="007C56DF">
        <w:rPr>
          <w:rFonts w:ascii="Times New Roman" w:hAnsi="Times New Roman" w:cs="Times New Roman"/>
        </w:rPr>
        <w:t>(</w:t>
      </w:r>
      <w:r w:rsidR="004E3747" w:rsidRPr="007C56DF">
        <w:rPr>
          <w:rFonts w:ascii="Times New Roman" w:hAnsi="Times New Roman" w:cs="Times New Roman"/>
        </w:rPr>
        <w:t>Ball &amp; Forzani, 2010</w:t>
      </w:r>
      <w:r w:rsidR="00E80BF3" w:rsidRPr="007C56DF">
        <w:rPr>
          <w:rFonts w:ascii="Times New Roman" w:hAnsi="Times New Roman" w:cs="Times New Roman"/>
        </w:rPr>
        <w:t>)</w:t>
      </w:r>
      <w:r w:rsidR="00D34215" w:rsidRPr="007C56DF">
        <w:rPr>
          <w:rFonts w:ascii="Times New Roman" w:hAnsi="Times New Roman" w:cs="Times New Roman"/>
        </w:rPr>
        <w:t xml:space="preserve">.  </w:t>
      </w:r>
      <w:r w:rsidR="00091CC7" w:rsidRPr="007C56DF">
        <w:rPr>
          <w:rFonts w:ascii="Times New Roman" w:hAnsi="Times New Roman" w:cs="Times New Roman"/>
        </w:rPr>
        <w:t>Prevailing critiques</w:t>
      </w:r>
      <w:r w:rsidR="00B56679" w:rsidRPr="007C56DF">
        <w:rPr>
          <w:rFonts w:ascii="Times New Roman" w:hAnsi="Times New Roman" w:cs="Times New Roman"/>
        </w:rPr>
        <w:t xml:space="preserve"> in the </w:t>
      </w:r>
      <w:r w:rsidR="00933F77" w:rsidRPr="007C56DF">
        <w:rPr>
          <w:rFonts w:ascii="Times New Roman" w:hAnsi="Times New Roman" w:cs="Times New Roman"/>
        </w:rPr>
        <w:t>U.S.</w:t>
      </w:r>
      <w:r w:rsidR="00B56679" w:rsidRPr="007C56DF">
        <w:rPr>
          <w:rFonts w:ascii="Times New Roman" w:hAnsi="Times New Roman" w:cs="Times New Roman"/>
        </w:rPr>
        <w:t xml:space="preserve"> media </w:t>
      </w:r>
      <w:r w:rsidR="00091CC7" w:rsidRPr="007C56DF">
        <w:rPr>
          <w:rFonts w:ascii="Times New Roman" w:hAnsi="Times New Roman" w:cs="Times New Roman"/>
        </w:rPr>
        <w:t xml:space="preserve">point to </w:t>
      </w:r>
      <w:r w:rsidR="00933F77" w:rsidRPr="007C56DF">
        <w:rPr>
          <w:rFonts w:ascii="Times New Roman" w:hAnsi="Times New Roman" w:cs="Times New Roman"/>
        </w:rPr>
        <w:t>U.S.</w:t>
      </w:r>
      <w:r w:rsidR="00B56679" w:rsidRPr="007C56DF">
        <w:rPr>
          <w:rFonts w:ascii="Times New Roman" w:hAnsi="Times New Roman" w:cs="Times New Roman"/>
        </w:rPr>
        <w:t xml:space="preserve"> performance on international comparisons through the Program for International Assessment (PISA</w:t>
      </w:r>
      <w:r w:rsidR="00BF79D4" w:rsidRPr="007C56DF">
        <w:rPr>
          <w:rFonts w:ascii="Times New Roman" w:hAnsi="Times New Roman" w:cs="Times New Roman"/>
        </w:rPr>
        <w:t>), which remains static,</w:t>
      </w:r>
      <w:r w:rsidR="00E80BF3" w:rsidRPr="007C56DF">
        <w:rPr>
          <w:rFonts w:ascii="Times New Roman" w:hAnsi="Times New Roman" w:cs="Times New Roman"/>
        </w:rPr>
        <w:t xml:space="preserve"> </w:t>
      </w:r>
      <w:r w:rsidR="001B067A" w:rsidRPr="007C56DF">
        <w:rPr>
          <w:rFonts w:ascii="Times New Roman" w:hAnsi="Times New Roman" w:cs="Times New Roman"/>
        </w:rPr>
        <w:t xml:space="preserve">and barely </w:t>
      </w:r>
      <w:r w:rsidR="00091CC7" w:rsidRPr="007C56DF">
        <w:rPr>
          <w:rFonts w:ascii="Times New Roman" w:hAnsi="Times New Roman" w:cs="Times New Roman"/>
        </w:rPr>
        <w:t>within</w:t>
      </w:r>
      <w:r w:rsidR="001B067A" w:rsidRPr="007C56DF">
        <w:rPr>
          <w:rFonts w:ascii="Times New Roman" w:hAnsi="Times New Roman" w:cs="Times New Roman"/>
        </w:rPr>
        <w:t xml:space="preserve"> the top 20 nations in academic achievement in reading, </w:t>
      </w:r>
      <w:r w:rsidR="003F2282" w:rsidRPr="007C56DF">
        <w:rPr>
          <w:rFonts w:ascii="Times New Roman" w:hAnsi="Times New Roman" w:cs="Times New Roman"/>
        </w:rPr>
        <w:t>and 27</w:t>
      </w:r>
      <w:r w:rsidR="003F2282" w:rsidRPr="007C56DF">
        <w:rPr>
          <w:rFonts w:ascii="Times New Roman" w:hAnsi="Times New Roman" w:cs="Times New Roman"/>
          <w:vertAlign w:val="superscript"/>
        </w:rPr>
        <w:t>th</w:t>
      </w:r>
      <w:r w:rsidR="003F2282" w:rsidRPr="007C56DF">
        <w:rPr>
          <w:rFonts w:ascii="Times New Roman" w:hAnsi="Times New Roman" w:cs="Times New Roman"/>
        </w:rPr>
        <w:t xml:space="preserve"> in </w:t>
      </w:r>
      <w:r w:rsidR="001B067A" w:rsidRPr="007C56DF">
        <w:rPr>
          <w:rFonts w:ascii="Times New Roman" w:hAnsi="Times New Roman" w:cs="Times New Roman"/>
        </w:rPr>
        <w:t xml:space="preserve">math </w:t>
      </w:r>
      <w:r w:rsidR="00E80BF3" w:rsidRPr="007C56DF">
        <w:rPr>
          <w:rFonts w:ascii="Times New Roman" w:hAnsi="Times New Roman" w:cs="Times New Roman"/>
        </w:rPr>
        <w:t>(</w:t>
      </w:r>
      <w:r w:rsidR="003F2282" w:rsidRPr="007C56DF">
        <w:rPr>
          <w:rFonts w:ascii="Times New Roman" w:hAnsi="Times New Roman" w:cs="Times New Roman"/>
        </w:rPr>
        <w:t>OECD, 2013</w:t>
      </w:r>
      <w:r w:rsidR="00E80BF3" w:rsidRPr="007C56DF">
        <w:rPr>
          <w:rFonts w:ascii="Times New Roman" w:hAnsi="Times New Roman" w:cs="Times New Roman"/>
        </w:rPr>
        <w:t>)</w:t>
      </w:r>
      <w:r w:rsidR="00B56679" w:rsidRPr="007C56DF">
        <w:rPr>
          <w:rFonts w:ascii="Times New Roman" w:hAnsi="Times New Roman" w:cs="Times New Roman"/>
        </w:rPr>
        <w:t xml:space="preserve">.  </w:t>
      </w:r>
      <w:r w:rsidR="00091CC7" w:rsidRPr="007C56DF">
        <w:rPr>
          <w:rFonts w:ascii="Times New Roman" w:hAnsi="Times New Roman" w:cs="Times New Roman"/>
        </w:rPr>
        <w:t>However</w:t>
      </w:r>
      <w:r w:rsidR="00B56679" w:rsidRPr="007C56DF">
        <w:rPr>
          <w:rFonts w:ascii="Times New Roman" w:hAnsi="Times New Roman" w:cs="Times New Roman"/>
        </w:rPr>
        <w:t>, policy scholars point to increasing performance outcomes for Black and Hispanic 17 year olds by as much as 20 points</w:t>
      </w:r>
      <w:r w:rsidR="008E183A" w:rsidRPr="007C56DF">
        <w:rPr>
          <w:rFonts w:ascii="Times New Roman" w:hAnsi="Times New Roman" w:cs="Times New Roman"/>
        </w:rPr>
        <w:t xml:space="preserve"> in Math and Reading</w:t>
      </w:r>
      <w:r w:rsidR="00B56679" w:rsidRPr="007C56DF">
        <w:rPr>
          <w:rFonts w:ascii="Times New Roman" w:hAnsi="Times New Roman" w:cs="Times New Roman"/>
        </w:rPr>
        <w:t xml:space="preserve"> (Center for Public Education, 2014).  </w:t>
      </w:r>
      <w:r w:rsidR="008E6AD4" w:rsidRPr="007C56DF">
        <w:rPr>
          <w:rFonts w:ascii="Times New Roman" w:hAnsi="Times New Roman" w:cs="Times New Roman"/>
        </w:rPr>
        <w:t xml:space="preserve">Nevertheless, P-12 and increasingly, P-16 education, to include undergraduate college education, is under constant and numbing critique in spite of almost thirty years of increasingly robust reform initiatives (Berliner &amp; Glass, 2014).  </w:t>
      </w:r>
      <w:r w:rsidR="00AF27F4" w:rsidRPr="007C56DF">
        <w:rPr>
          <w:rFonts w:ascii="Times New Roman" w:hAnsi="Times New Roman" w:cs="Times New Roman"/>
        </w:rPr>
        <w:t>Much of it centers on failure to address the needs of children</w:t>
      </w:r>
      <w:r w:rsidR="00C55799" w:rsidRPr="007C56DF">
        <w:rPr>
          <w:rFonts w:ascii="Times New Roman" w:hAnsi="Times New Roman" w:cs="Times New Roman"/>
        </w:rPr>
        <w:t xml:space="preserve"> with disabilities as well as those</w:t>
      </w:r>
      <w:r w:rsidR="00AF27F4" w:rsidRPr="007C56DF">
        <w:rPr>
          <w:rFonts w:ascii="Times New Roman" w:hAnsi="Times New Roman" w:cs="Times New Roman"/>
        </w:rPr>
        <w:t xml:space="preserve"> who are culturally and linguistically diverse.  </w:t>
      </w:r>
    </w:p>
    <w:p w14:paraId="39B1B68D" w14:textId="2E55D252" w:rsidR="001B067A" w:rsidRPr="007C56DF" w:rsidRDefault="001B067A" w:rsidP="007C56DF">
      <w:pPr>
        <w:rPr>
          <w:rFonts w:ascii="Times New Roman" w:hAnsi="Times New Roman" w:cs="Times New Roman"/>
        </w:rPr>
      </w:pPr>
      <w:r w:rsidRPr="007C56DF">
        <w:rPr>
          <w:rFonts w:ascii="Times New Roman" w:hAnsi="Times New Roman" w:cs="Times New Roman"/>
        </w:rPr>
        <w:t>T</w:t>
      </w:r>
      <w:r w:rsidR="00B56679" w:rsidRPr="007C56DF">
        <w:rPr>
          <w:rFonts w:ascii="Times New Roman" w:hAnsi="Times New Roman" w:cs="Times New Roman"/>
        </w:rPr>
        <w:t xml:space="preserve">he inception of the new Common Core Standards currently adopted by 45 out of 50 states, four territories and the Department of Defense school system </w:t>
      </w:r>
      <w:r w:rsidRPr="007C56DF">
        <w:rPr>
          <w:rFonts w:ascii="Times New Roman" w:hAnsi="Times New Roman" w:cs="Times New Roman"/>
        </w:rPr>
        <w:t>shift</w:t>
      </w:r>
      <w:r w:rsidR="0073528E" w:rsidRPr="007C56DF">
        <w:rPr>
          <w:rFonts w:ascii="Times New Roman" w:hAnsi="Times New Roman" w:cs="Times New Roman"/>
        </w:rPr>
        <w:t>s</w:t>
      </w:r>
      <w:r w:rsidRPr="007C56DF">
        <w:rPr>
          <w:rFonts w:ascii="Times New Roman" w:hAnsi="Times New Roman" w:cs="Times New Roman"/>
        </w:rPr>
        <w:t xml:space="preserve"> the terrain substantially.  </w:t>
      </w:r>
      <w:r w:rsidR="003E74FA" w:rsidRPr="007C56DF">
        <w:rPr>
          <w:rFonts w:ascii="Times New Roman" w:hAnsi="Times New Roman" w:cs="Times New Roman"/>
        </w:rPr>
        <w:t xml:space="preserve">Rothman (2012) notes that the </w:t>
      </w:r>
      <w:r w:rsidR="008D6208" w:rsidRPr="007C56DF">
        <w:rPr>
          <w:rFonts w:ascii="Times New Roman" w:hAnsi="Times New Roman" w:cs="Times New Roman"/>
        </w:rPr>
        <w:t>C</w:t>
      </w:r>
      <w:r w:rsidR="003E74FA" w:rsidRPr="007C56DF">
        <w:rPr>
          <w:rFonts w:ascii="Times New Roman" w:hAnsi="Times New Roman" w:cs="Times New Roman"/>
        </w:rPr>
        <w:t xml:space="preserve">ommon </w:t>
      </w:r>
      <w:r w:rsidR="008D6208" w:rsidRPr="007C56DF">
        <w:rPr>
          <w:rFonts w:ascii="Times New Roman" w:hAnsi="Times New Roman" w:cs="Times New Roman"/>
        </w:rPr>
        <w:t>C</w:t>
      </w:r>
      <w:r w:rsidR="003E74FA" w:rsidRPr="007C56DF">
        <w:rPr>
          <w:rFonts w:ascii="Times New Roman" w:hAnsi="Times New Roman" w:cs="Times New Roman"/>
        </w:rPr>
        <w:t xml:space="preserve">ore reshapes what and how content will be taught.  For instance, instead of covering a number of math topics, the </w:t>
      </w:r>
      <w:r w:rsidR="008D6208" w:rsidRPr="007C56DF">
        <w:rPr>
          <w:rFonts w:ascii="Times New Roman" w:hAnsi="Times New Roman" w:cs="Times New Roman"/>
        </w:rPr>
        <w:t>C</w:t>
      </w:r>
      <w:r w:rsidR="003E74FA" w:rsidRPr="007C56DF">
        <w:rPr>
          <w:rFonts w:ascii="Times New Roman" w:hAnsi="Times New Roman" w:cs="Times New Roman"/>
        </w:rPr>
        <w:t xml:space="preserve">ommon </w:t>
      </w:r>
      <w:r w:rsidR="008D6208" w:rsidRPr="007C56DF">
        <w:rPr>
          <w:rFonts w:ascii="Times New Roman" w:hAnsi="Times New Roman" w:cs="Times New Roman"/>
        </w:rPr>
        <w:t>C</w:t>
      </w:r>
      <w:r w:rsidR="003E74FA" w:rsidRPr="007C56DF">
        <w:rPr>
          <w:rFonts w:ascii="Times New Roman" w:hAnsi="Times New Roman" w:cs="Times New Roman"/>
        </w:rPr>
        <w:t xml:space="preserve">ore focuses practice on deeper understanding in fewer topics.  </w:t>
      </w:r>
      <w:r w:rsidR="007F071E" w:rsidRPr="007C56DF">
        <w:rPr>
          <w:rFonts w:ascii="Times New Roman" w:hAnsi="Times New Roman" w:cs="Times New Roman"/>
        </w:rPr>
        <w:t>Similarly, r</w:t>
      </w:r>
      <w:r w:rsidR="008E6AD4" w:rsidRPr="007C56DF">
        <w:rPr>
          <w:rFonts w:ascii="Times New Roman" w:hAnsi="Times New Roman" w:cs="Times New Roman"/>
        </w:rPr>
        <w:t xml:space="preserve">eading nonfiction, focusing on text comprehension, and how to extract evidence in support of the central claims of the text marks a major overhaul in how reading is taught and used as a learning tool.  </w:t>
      </w:r>
    </w:p>
    <w:p w14:paraId="6829E29C" w14:textId="76D67434" w:rsidR="003D5754" w:rsidRPr="007C56DF" w:rsidRDefault="00F061AE" w:rsidP="007C56DF">
      <w:pPr>
        <w:rPr>
          <w:rFonts w:ascii="Times New Roman" w:hAnsi="Times New Roman" w:cs="Times New Roman"/>
        </w:rPr>
      </w:pPr>
      <w:r w:rsidRPr="007C56DF">
        <w:rPr>
          <w:rFonts w:ascii="Times New Roman" w:hAnsi="Times New Roman" w:cs="Times New Roman"/>
        </w:rPr>
        <w:lastRenderedPageBreak/>
        <w:t xml:space="preserve">All of these </w:t>
      </w:r>
      <w:r w:rsidR="00193939" w:rsidRPr="007C56DF">
        <w:rPr>
          <w:rFonts w:ascii="Times New Roman" w:hAnsi="Times New Roman" w:cs="Times New Roman"/>
        </w:rPr>
        <w:t>reform voices</w:t>
      </w:r>
      <w:r w:rsidRPr="007C56DF">
        <w:rPr>
          <w:rFonts w:ascii="Times New Roman" w:hAnsi="Times New Roman" w:cs="Times New Roman"/>
        </w:rPr>
        <w:t xml:space="preserve"> converge in a redesign </w:t>
      </w:r>
      <w:r w:rsidR="009F5C3F" w:rsidRPr="007C56DF">
        <w:rPr>
          <w:rFonts w:ascii="Times New Roman" w:hAnsi="Times New Roman" w:cs="Times New Roman"/>
        </w:rPr>
        <w:t xml:space="preserve">flood </w:t>
      </w:r>
      <w:r w:rsidRPr="007C56DF">
        <w:rPr>
          <w:rFonts w:ascii="Times New Roman" w:hAnsi="Times New Roman" w:cs="Times New Roman"/>
        </w:rPr>
        <w:t>of how teachers should learn to teach, what they should teach, and how their performance should be assessed</w:t>
      </w:r>
      <w:r w:rsidR="00583940" w:rsidRPr="007C56DF">
        <w:rPr>
          <w:rFonts w:ascii="Times New Roman" w:hAnsi="Times New Roman" w:cs="Times New Roman"/>
        </w:rPr>
        <w:t xml:space="preserve"> (Brownell, Steinbrecher, Kimerlin, Park, Bae, &amp; Benedict, 2014)</w:t>
      </w:r>
      <w:r w:rsidRPr="007C56DF">
        <w:rPr>
          <w:rFonts w:ascii="Times New Roman" w:hAnsi="Times New Roman" w:cs="Times New Roman"/>
        </w:rPr>
        <w:t>.  P</w:t>
      </w:r>
      <w:r w:rsidR="001B067A" w:rsidRPr="007C56DF">
        <w:rPr>
          <w:rFonts w:ascii="Times New Roman" w:hAnsi="Times New Roman" w:cs="Times New Roman"/>
        </w:rPr>
        <w:t xml:space="preserve">reparing the teacher workforce </w:t>
      </w:r>
      <w:r w:rsidRPr="007C56DF">
        <w:rPr>
          <w:rFonts w:ascii="Times New Roman" w:hAnsi="Times New Roman" w:cs="Times New Roman"/>
        </w:rPr>
        <w:t xml:space="preserve">is a dilemma for policy-makers, researchers, and teacher educators alike.  </w:t>
      </w:r>
      <w:r w:rsidR="003D5754" w:rsidRPr="007C56DF">
        <w:rPr>
          <w:rFonts w:ascii="Times New Roman" w:hAnsi="Times New Roman" w:cs="Times New Roman"/>
        </w:rPr>
        <w:t>The goal of this paper is to consider the opportunities and constraints at the</w:t>
      </w:r>
      <w:r w:rsidR="00F0709D" w:rsidRPr="007C56DF">
        <w:rPr>
          <w:rFonts w:ascii="Times New Roman" w:hAnsi="Times New Roman" w:cs="Times New Roman"/>
        </w:rPr>
        <w:t xml:space="preserve"> </w:t>
      </w:r>
      <w:r w:rsidR="003D5754" w:rsidRPr="007C56DF">
        <w:rPr>
          <w:rFonts w:ascii="Times New Roman" w:hAnsi="Times New Roman" w:cs="Times New Roman"/>
        </w:rPr>
        <w:t>national, stat</w:t>
      </w:r>
      <w:r w:rsidR="00F0709D" w:rsidRPr="007C56DF">
        <w:rPr>
          <w:rFonts w:ascii="Times New Roman" w:hAnsi="Times New Roman" w:cs="Times New Roman"/>
        </w:rPr>
        <w:t>e</w:t>
      </w:r>
      <w:r w:rsidR="003D5754" w:rsidRPr="007C56DF">
        <w:rPr>
          <w:rFonts w:ascii="Times New Roman" w:hAnsi="Times New Roman" w:cs="Times New Roman"/>
        </w:rPr>
        <w:t xml:space="preserve"> </w:t>
      </w:r>
      <w:r w:rsidR="00F0709D" w:rsidRPr="007C56DF">
        <w:rPr>
          <w:rFonts w:ascii="Times New Roman" w:hAnsi="Times New Roman" w:cs="Times New Roman"/>
        </w:rPr>
        <w:t>and</w:t>
      </w:r>
      <w:r w:rsidR="003D5754" w:rsidRPr="007C56DF">
        <w:rPr>
          <w:rFonts w:ascii="Times New Roman" w:hAnsi="Times New Roman" w:cs="Times New Roman"/>
        </w:rPr>
        <w:t xml:space="preserve"> local level in the process of reforming teacher education to prepare a workforce that can support students with disabilities in the classroom. Our analysis draws on complexity theory, systems change, and cultural historical activity theory in order to identify key levers for change and transformation that will improve the way we</w:t>
      </w:r>
      <w:r w:rsidR="005D2C18" w:rsidRPr="007C56DF">
        <w:rPr>
          <w:rFonts w:ascii="Times New Roman" w:hAnsi="Times New Roman" w:cs="Times New Roman"/>
        </w:rPr>
        <w:t xml:space="preserve"> prepare </w:t>
      </w:r>
      <w:r w:rsidR="00427A55" w:rsidRPr="007C56DF">
        <w:rPr>
          <w:rFonts w:ascii="Times New Roman" w:hAnsi="Times New Roman" w:cs="Times New Roman"/>
        </w:rPr>
        <w:t xml:space="preserve">All </w:t>
      </w:r>
      <w:r w:rsidR="005D2C18" w:rsidRPr="007C56DF">
        <w:rPr>
          <w:rFonts w:ascii="Times New Roman" w:hAnsi="Times New Roman" w:cs="Times New Roman"/>
        </w:rPr>
        <w:t>teachers to</w:t>
      </w:r>
      <w:r w:rsidR="003D5754" w:rsidRPr="007C56DF">
        <w:rPr>
          <w:rFonts w:ascii="Times New Roman" w:hAnsi="Times New Roman" w:cs="Times New Roman"/>
        </w:rPr>
        <w:t xml:space="preserve"> teach students with disabilities.  </w:t>
      </w:r>
    </w:p>
    <w:p w14:paraId="6E5E647A" w14:textId="34220DFA" w:rsidR="00301839" w:rsidRPr="007C56DF" w:rsidRDefault="00317EC8" w:rsidP="007C56DF">
      <w:pPr>
        <w:pStyle w:val="Heading2"/>
        <w:jc w:val="center"/>
        <w:rPr>
          <w:rFonts w:ascii="Times New Roman" w:hAnsi="Times New Roman" w:cs="Times New Roman"/>
        </w:rPr>
      </w:pPr>
      <w:r w:rsidRPr="007C56DF">
        <w:rPr>
          <w:rFonts w:ascii="Times New Roman" w:hAnsi="Times New Roman" w:cs="Times New Roman"/>
        </w:rPr>
        <w:t>Teacher Education Systems Change</w:t>
      </w:r>
    </w:p>
    <w:p w14:paraId="636CD7AF" w14:textId="7A2FA5EF" w:rsidR="00BC4D63" w:rsidRPr="007C56DF" w:rsidRDefault="006A4248" w:rsidP="007C56DF">
      <w:pPr>
        <w:rPr>
          <w:rFonts w:ascii="Times New Roman" w:hAnsi="Times New Roman" w:cs="Times New Roman"/>
        </w:rPr>
      </w:pPr>
      <w:r w:rsidRPr="007C56DF">
        <w:rPr>
          <w:rFonts w:ascii="Times New Roman" w:hAnsi="Times New Roman" w:cs="Times New Roman"/>
        </w:rPr>
        <w:t>S</w:t>
      </w:r>
      <w:r w:rsidR="002F2DFA" w:rsidRPr="007C56DF">
        <w:rPr>
          <w:rFonts w:ascii="Times New Roman" w:hAnsi="Times New Roman" w:cs="Times New Roman"/>
        </w:rPr>
        <w:t xml:space="preserve">ystems themselves can be conceptualized as arenas of human activity in which multiple activities converge </w:t>
      </w:r>
      <w:r w:rsidRPr="007C56DF">
        <w:rPr>
          <w:rFonts w:ascii="Times New Roman" w:hAnsi="Times New Roman" w:cs="Times New Roman"/>
        </w:rPr>
        <w:t>to produce specific outcomes. Accordingly, families are systems, as are classrooms, schools, and school districts.  In each of these systems</w:t>
      </w:r>
      <w:r w:rsidR="0092253D" w:rsidRPr="007C56DF">
        <w:rPr>
          <w:rFonts w:ascii="Times New Roman" w:hAnsi="Times New Roman" w:cs="Times New Roman"/>
        </w:rPr>
        <w:t>,</w:t>
      </w:r>
      <w:r w:rsidRPr="007C56DF">
        <w:rPr>
          <w:rFonts w:ascii="Times New Roman" w:hAnsi="Times New Roman" w:cs="Times New Roman"/>
        </w:rPr>
        <w:t xml:space="preserve"> individual and collective histories, cultural practices, knowledge production, and psychological needs interact to produce outcomes like academic learning, citizenship, and knowledge of the world</w:t>
      </w:r>
      <w:r w:rsidR="0092253D" w:rsidRPr="007C56DF">
        <w:rPr>
          <w:rFonts w:ascii="Times New Roman" w:hAnsi="Times New Roman" w:cs="Times New Roman"/>
        </w:rPr>
        <w:t xml:space="preserve"> as well as others that are particular to contexts, cultural practices, and institutional histories</w:t>
      </w:r>
      <w:r w:rsidRPr="007C56DF">
        <w:rPr>
          <w:rFonts w:ascii="Times New Roman" w:hAnsi="Times New Roman" w:cs="Times New Roman"/>
        </w:rPr>
        <w:t xml:space="preserve">.  </w:t>
      </w:r>
      <w:r w:rsidR="00BC4D63" w:rsidRPr="007C56DF">
        <w:rPr>
          <w:rFonts w:ascii="Times New Roman" w:hAnsi="Times New Roman" w:cs="Times New Roman"/>
        </w:rPr>
        <w:t xml:space="preserve">These are both individual and collective outcomes.  In doing this work, culture is embedded, created, transformed and expanded (Artiles, 2014). </w:t>
      </w:r>
      <w:r w:rsidRPr="007C56DF">
        <w:rPr>
          <w:rFonts w:ascii="Times New Roman" w:hAnsi="Times New Roman" w:cs="Times New Roman"/>
        </w:rPr>
        <w:t xml:space="preserve">Classrooms exist in schools which have specific rhythms and patterns that include the </w:t>
      </w:r>
      <w:r w:rsidR="00252669" w:rsidRPr="007C56DF">
        <w:rPr>
          <w:rFonts w:ascii="Times New Roman" w:hAnsi="Times New Roman" w:cs="Times New Roman"/>
        </w:rPr>
        <w:t xml:space="preserve">grade level </w:t>
      </w:r>
      <w:r w:rsidRPr="007C56DF">
        <w:rPr>
          <w:rFonts w:ascii="Times New Roman" w:hAnsi="Times New Roman" w:cs="Times New Roman"/>
        </w:rPr>
        <w:t>organization</w:t>
      </w:r>
      <w:r w:rsidR="00252669" w:rsidRPr="007C56DF">
        <w:rPr>
          <w:rFonts w:ascii="Times New Roman" w:hAnsi="Times New Roman" w:cs="Times New Roman"/>
        </w:rPr>
        <w:t>,</w:t>
      </w:r>
      <w:r w:rsidRPr="007C56DF">
        <w:rPr>
          <w:rFonts w:ascii="Times New Roman" w:hAnsi="Times New Roman" w:cs="Times New Roman"/>
        </w:rPr>
        <w:t xml:space="preserve"> </w:t>
      </w:r>
      <w:r w:rsidR="00252669" w:rsidRPr="007C56DF">
        <w:rPr>
          <w:rFonts w:ascii="Times New Roman" w:hAnsi="Times New Roman" w:cs="Times New Roman"/>
        </w:rPr>
        <w:t>school day length</w:t>
      </w:r>
      <w:r w:rsidRPr="007C56DF">
        <w:rPr>
          <w:rFonts w:ascii="Times New Roman" w:hAnsi="Times New Roman" w:cs="Times New Roman"/>
        </w:rPr>
        <w:t>,</w:t>
      </w:r>
      <w:r w:rsidR="00252669" w:rsidRPr="007C56DF">
        <w:rPr>
          <w:rFonts w:ascii="Times New Roman" w:hAnsi="Times New Roman" w:cs="Times New Roman"/>
        </w:rPr>
        <w:t xml:space="preserve"> and</w:t>
      </w:r>
      <w:r w:rsidRPr="007C56DF">
        <w:rPr>
          <w:rFonts w:ascii="Times New Roman" w:hAnsi="Times New Roman" w:cs="Times New Roman"/>
        </w:rPr>
        <w:t xml:space="preserve"> systems of student and teacher evaluation.</w:t>
      </w:r>
      <w:r w:rsidR="00BC4D63" w:rsidRPr="007C56DF">
        <w:rPr>
          <w:rFonts w:ascii="Times New Roman" w:hAnsi="Times New Roman" w:cs="Times New Roman"/>
        </w:rPr>
        <w:t xml:space="preserve"> These features of the context, among many others, shape the daily activities of teachers, administrators, students, and families.  Thus systems themselves are formed and reformed through daily interaction.  </w:t>
      </w:r>
    </w:p>
    <w:p w14:paraId="3A1E92DA" w14:textId="25FF6B41" w:rsidR="00317EC8" w:rsidRPr="007C56DF" w:rsidRDefault="006A4248" w:rsidP="007C56DF">
      <w:pPr>
        <w:rPr>
          <w:rFonts w:ascii="Times New Roman" w:hAnsi="Times New Roman" w:cs="Times New Roman"/>
        </w:rPr>
      </w:pPr>
      <w:r w:rsidRPr="007C56DF">
        <w:rPr>
          <w:rFonts w:ascii="Times New Roman" w:hAnsi="Times New Roman" w:cs="Times New Roman"/>
        </w:rPr>
        <w:lastRenderedPageBreak/>
        <w:t>Public schools often exist within a l</w:t>
      </w:r>
      <w:r w:rsidR="002F2DFA" w:rsidRPr="007C56DF">
        <w:rPr>
          <w:rFonts w:ascii="Times New Roman" w:hAnsi="Times New Roman" w:cs="Times New Roman"/>
        </w:rPr>
        <w:t xml:space="preserve">ocal educational unit, </w:t>
      </w:r>
      <w:r w:rsidRPr="007C56DF">
        <w:rPr>
          <w:rFonts w:ascii="Times New Roman" w:hAnsi="Times New Roman" w:cs="Times New Roman"/>
        </w:rPr>
        <w:t>which reports outcomes to a state agency</w:t>
      </w:r>
      <w:r w:rsidR="00421D9B" w:rsidRPr="007C56DF">
        <w:rPr>
          <w:rFonts w:ascii="Times New Roman" w:hAnsi="Times New Roman" w:cs="Times New Roman"/>
        </w:rPr>
        <w:t xml:space="preserve"> which</w:t>
      </w:r>
      <w:r w:rsidR="00E70B57" w:rsidRPr="007C56DF">
        <w:rPr>
          <w:rFonts w:ascii="Times New Roman" w:hAnsi="Times New Roman" w:cs="Times New Roman"/>
        </w:rPr>
        <w:t xml:space="preserve"> </w:t>
      </w:r>
      <w:r w:rsidR="00252669" w:rsidRPr="007C56DF">
        <w:rPr>
          <w:rFonts w:ascii="Times New Roman" w:hAnsi="Times New Roman" w:cs="Times New Roman"/>
        </w:rPr>
        <w:t>agency, which</w:t>
      </w:r>
      <w:r w:rsidR="00421D9B" w:rsidRPr="007C56DF">
        <w:rPr>
          <w:rFonts w:ascii="Times New Roman" w:hAnsi="Times New Roman" w:cs="Times New Roman"/>
        </w:rPr>
        <w:t xml:space="preserve"> in turn, </w:t>
      </w:r>
      <w:r w:rsidR="00252669" w:rsidRPr="007C56DF">
        <w:rPr>
          <w:rFonts w:ascii="Times New Roman" w:hAnsi="Times New Roman" w:cs="Times New Roman"/>
        </w:rPr>
        <w:t xml:space="preserve">is </w:t>
      </w:r>
      <w:r w:rsidR="002F2DFA" w:rsidRPr="007C56DF">
        <w:rPr>
          <w:rFonts w:ascii="Times New Roman" w:hAnsi="Times New Roman" w:cs="Times New Roman"/>
        </w:rPr>
        <w:t xml:space="preserve">influenced by </w:t>
      </w:r>
      <w:r w:rsidR="00421D9B" w:rsidRPr="007C56DF">
        <w:rPr>
          <w:rFonts w:ascii="Times New Roman" w:hAnsi="Times New Roman" w:cs="Times New Roman"/>
        </w:rPr>
        <w:t xml:space="preserve">federal policy and funding streams </w:t>
      </w:r>
      <w:r w:rsidR="002F2DFA" w:rsidRPr="007C56DF">
        <w:rPr>
          <w:rFonts w:ascii="Times New Roman" w:hAnsi="Times New Roman" w:cs="Times New Roman"/>
        </w:rPr>
        <w:t xml:space="preserve">(Kozleski &amp; </w:t>
      </w:r>
      <w:r w:rsidR="00421D9B" w:rsidRPr="007C56DF">
        <w:rPr>
          <w:rFonts w:ascii="Times New Roman" w:hAnsi="Times New Roman" w:cs="Times New Roman"/>
        </w:rPr>
        <w:t>Huber</w:t>
      </w:r>
      <w:r w:rsidR="002F2DFA" w:rsidRPr="007C56DF">
        <w:rPr>
          <w:rFonts w:ascii="Times New Roman" w:hAnsi="Times New Roman" w:cs="Times New Roman"/>
        </w:rPr>
        <w:t>, 20</w:t>
      </w:r>
      <w:r w:rsidR="00421D9B" w:rsidRPr="007C56DF">
        <w:rPr>
          <w:rFonts w:ascii="Times New Roman" w:hAnsi="Times New Roman" w:cs="Times New Roman"/>
        </w:rPr>
        <w:t>10</w:t>
      </w:r>
      <w:r w:rsidR="002F2DFA" w:rsidRPr="007C56DF">
        <w:rPr>
          <w:rFonts w:ascii="Times New Roman" w:hAnsi="Times New Roman" w:cs="Times New Roman"/>
        </w:rPr>
        <w:t>).  The complex systems perspective recognizes the</w:t>
      </w:r>
      <w:r w:rsidR="00421D9B" w:rsidRPr="007C56DF">
        <w:rPr>
          <w:rFonts w:ascii="Times New Roman" w:hAnsi="Times New Roman" w:cs="Times New Roman"/>
        </w:rPr>
        <w:t xml:space="preserve"> potential for local, unique responses to </w:t>
      </w:r>
      <w:r w:rsidR="002F2DFA" w:rsidRPr="007C56DF">
        <w:rPr>
          <w:rFonts w:ascii="Times New Roman" w:hAnsi="Times New Roman" w:cs="Times New Roman"/>
        </w:rPr>
        <w:t>complex social, regulator</w:t>
      </w:r>
      <w:r w:rsidR="00421D9B" w:rsidRPr="007C56DF">
        <w:rPr>
          <w:rFonts w:ascii="Times New Roman" w:hAnsi="Times New Roman" w:cs="Times New Roman"/>
        </w:rPr>
        <w:t>y, and political influences since inputs at any systems level are responsive to specific contexts.  Teacher education can be thought of in much the same way.  Licensure requirements at the state level are attempts to establish the foundation for professional teaching practice.  While they respond to and are informed by national standards, they are also responsi</w:t>
      </w:r>
      <w:r w:rsidR="001D78D2" w:rsidRPr="007C56DF">
        <w:rPr>
          <w:rFonts w:ascii="Times New Roman" w:hAnsi="Times New Roman" w:cs="Times New Roman"/>
        </w:rPr>
        <w:t xml:space="preserve">ve to local legislation, teacher education programs, research, and local practice.  </w:t>
      </w:r>
    </w:p>
    <w:p w14:paraId="5E9318C4" w14:textId="4C2A0B91" w:rsidR="00317EC8" w:rsidRPr="007C56DF" w:rsidRDefault="00317EC8" w:rsidP="007C56DF">
      <w:pPr>
        <w:ind w:firstLine="0"/>
        <w:rPr>
          <w:rFonts w:ascii="Times New Roman" w:hAnsi="Times New Roman" w:cs="Times New Roman"/>
          <w:b/>
        </w:rPr>
      </w:pPr>
      <w:r w:rsidRPr="007C56DF">
        <w:rPr>
          <w:rFonts w:ascii="Times New Roman" w:hAnsi="Times New Roman" w:cs="Times New Roman"/>
          <w:b/>
        </w:rPr>
        <w:t>Framing the Analysis</w:t>
      </w:r>
    </w:p>
    <w:p w14:paraId="0F3689FA" w14:textId="52D3B61C" w:rsidR="003B5837" w:rsidRPr="007C56DF" w:rsidRDefault="009D080F" w:rsidP="007C56DF">
      <w:pPr>
        <w:rPr>
          <w:rFonts w:ascii="Times New Roman" w:hAnsi="Times New Roman" w:cs="Times New Roman"/>
        </w:rPr>
      </w:pPr>
      <w:r w:rsidRPr="007C56DF">
        <w:rPr>
          <w:rFonts w:ascii="Times New Roman" w:hAnsi="Times New Roman" w:cs="Times New Roman"/>
        </w:rPr>
        <w:t>T</w:t>
      </w:r>
      <w:r w:rsidR="00010D5F" w:rsidRPr="007C56DF">
        <w:rPr>
          <w:rFonts w:ascii="Times New Roman" w:hAnsi="Times New Roman" w:cs="Times New Roman"/>
        </w:rPr>
        <w:t xml:space="preserve">wo ideas undergird </w:t>
      </w:r>
      <w:r w:rsidR="006F2812" w:rsidRPr="007C56DF">
        <w:rPr>
          <w:rFonts w:ascii="Times New Roman" w:hAnsi="Times New Roman" w:cs="Times New Roman"/>
        </w:rPr>
        <w:t>the analytical</w:t>
      </w:r>
      <w:r w:rsidR="00010D5F" w:rsidRPr="007C56DF">
        <w:rPr>
          <w:rFonts w:ascii="Times New Roman" w:hAnsi="Times New Roman" w:cs="Times New Roman"/>
        </w:rPr>
        <w:t xml:space="preserve"> framework</w:t>
      </w:r>
      <w:r w:rsidR="006F2812" w:rsidRPr="007C56DF">
        <w:rPr>
          <w:rFonts w:ascii="Times New Roman" w:hAnsi="Times New Roman" w:cs="Times New Roman"/>
        </w:rPr>
        <w:t xml:space="preserve"> in this article</w:t>
      </w:r>
      <w:r w:rsidRPr="007C56DF">
        <w:rPr>
          <w:rFonts w:ascii="Times New Roman" w:hAnsi="Times New Roman" w:cs="Times New Roman"/>
        </w:rPr>
        <w:t>.  The first is the importance of context in terms of the degree to which systems are able to be reflexive to ch</w:t>
      </w:r>
      <w:r w:rsidR="0041157A" w:rsidRPr="007C56DF">
        <w:rPr>
          <w:rFonts w:ascii="Times New Roman" w:hAnsi="Times New Roman" w:cs="Times New Roman"/>
        </w:rPr>
        <w:t>anges beyond their boundaries while still preserving two hallmarks of effective systems:  predictability and sustainability (</w:t>
      </w:r>
      <w:r w:rsidR="00757AE7" w:rsidRPr="007C56DF">
        <w:rPr>
          <w:rFonts w:ascii="Times New Roman" w:hAnsi="Times New Roman" w:cs="Times New Roman"/>
        </w:rPr>
        <w:t>Cochran-Smith, Gleeson, &amp; Mitchell, 2010</w:t>
      </w:r>
      <w:r w:rsidR="0041157A" w:rsidRPr="007C56DF">
        <w:rPr>
          <w:rFonts w:ascii="Times New Roman" w:hAnsi="Times New Roman" w:cs="Times New Roman"/>
        </w:rPr>
        <w:t xml:space="preserve">).  </w:t>
      </w:r>
      <w:r w:rsidRPr="007C56DF">
        <w:rPr>
          <w:rFonts w:ascii="Times New Roman" w:hAnsi="Times New Roman" w:cs="Times New Roman"/>
        </w:rPr>
        <w:t>Context is more than the obvious structures, interactions, processes, and outputs of a system on any given day.  In complex human systems, historicity</w:t>
      </w:r>
      <w:r w:rsidR="006F2812" w:rsidRPr="007C56DF">
        <w:rPr>
          <w:rFonts w:ascii="Times New Roman" w:hAnsi="Times New Roman" w:cs="Times New Roman"/>
        </w:rPr>
        <w:t>, privilege</w:t>
      </w:r>
      <w:r w:rsidR="00585B0F" w:rsidRPr="007C56DF">
        <w:rPr>
          <w:rFonts w:ascii="Times New Roman" w:hAnsi="Times New Roman" w:cs="Times New Roman"/>
        </w:rPr>
        <w:t xml:space="preserve"> and cultural practices play</w:t>
      </w:r>
      <w:r w:rsidRPr="007C56DF">
        <w:rPr>
          <w:rFonts w:ascii="Times New Roman" w:hAnsi="Times New Roman" w:cs="Times New Roman"/>
        </w:rPr>
        <w:t xml:space="preserve"> a major role in determining who has access to levers of change and how that access is granted</w:t>
      </w:r>
      <w:r w:rsidR="00FE6062" w:rsidRPr="007C56DF">
        <w:rPr>
          <w:rFonts w:ascii="Times New Roman" w:hAnsi="Times New Roman" w:cs="Times New Roman"/>
        </w:rPr>
        <w:t xml:space="preserve"> (Bates, 2013)</w:t>
      </w:r>
      <w:r w:rsidRPr="007C56DF">
        <w:rPr>
          <w:rFonts w:ascii="Times New Roman" w:hAnsi="Times New Roman" w:cs="Times New Roman"/>
        </w:rPr>
        <w:t>.</w:t>
      </w:r>
      <w:r w:rsidR="0041157A" w:rsidRPr="007C56DF">
        <w:rPr>
          <w:rFonts w:ascii="Times New Roman" w:hAnsi="Times New Roman" w:cs="Times New Roman"/>
        </w:rPr>
        <w:t xml:space="preserve">  </w:t>
      </w:r>
      <w:r w:rsidRPr="007C56DF">
        <w:rPr>
          <w:rFonts w:ascii="Times New Roman" w:hAnsi="Times New Roman" w:cs="Times New Roman"/>
        </w:rPr>
        <w:t xml:space="preserve"> </w:t>
      </w:r>
      <w:r w:rsidR="0041157A" w:rsidRPr="007C56DF">
        <w:rPr>
          <w:rFonts w:ascii="Times New Roman" w:hAnsi="Times New Roman" w:cs="Times New Roman"/>
        </w:rPr>
        <w:t>Systems development needs to account for context, locally, regionally, by political boundaries such as states, and nationally (Fix</w:t>
      </w:r>
      <w:r w:rsidR="00FC2105" w:rsidRPr="007C56DF">
        <w:rPr>
          <w:rFonts w:ascii="Times New Roman" w:hAnsi="Times New Roman" w:cs="Times New Roman"/>
        </w:rPr>
        <w:t>s</w:t>
      </w:r>
      <w:r w:rsidR="0041157A" w:rsidRPr="007C56DF">
        <w:rPr>
          <w:rFonts w:ascii="Times New Roman" w:hAnsi="Times New Roman" w:cs="Times New Roman"/>
        </w:rPr>
        <w:t>en</w:t>
      </w:r>
      <w:r w:rsidR="002B3C4A" w:rsidRPr="007C56DF">
        <w:rPr>
          <w:rFonts w:ascii="Times New Roman" w:hAnsi="Times New Roman" w:cs="Times New Roman"/>
        </w:rPr>
        <w:t>,</w:t>
      </w:r>
      <w:r w:rsidR="0041157A" w:rsidRPr="007C56DF">
        <w:rPr>
          <w:rFonts w:ascii="Times New Roman" w:hAnsi="Times New Roman" w:cs="Times New Roman"/>
        </w:rPr>
        <w:t xml:space="preserve"> Blase, &amp; Van Dyke, 2012).  </w:t>
      </w:r>
      <w:r w:rsidRPr="007C56DF">
        <w:rPr>
          <w:rFonts w:ascii="Times New Roman" w:hAnsi="Times New Roman" w:cs="Times New Roman"/>
        </w:rPr>
        <w:t xml:space="preserve"> </w:t>
      </w:r>
    </w:p>
    <w:p w14:paraId="01294B8B" w14:textId="77777777" w:rsidR="00740079" w:rsidRDefault="00BC4D63" w:rsidP="007C56DF">
      <w:pPr>
        <w:rPr>
          <w:rFonts w:ascii="Times New Roman" w:hAnsi="Times New Roman" w:cs="Times New Roman"/>
        </w:rPr>
      </w:pPr>
      <w:r w:rsidRPr="007C56DF">
        <w:rPr>
          <w:rFonts w:ascii="Times New Roman" w:hAnsi="Times New Roman" w:cs="Times New Roman"/>
          <w:noProof/>
        </w:rPr>
        <w:lastRenderedPageBreak/>
        <mc:AlternateContent>
          <mc:Choice Requires="wps">
            <w:drawing>
              <wp:anchor distT="0" distB="0" distL="114300" distR="114300" simplePos="0" relativeHeight="251662336" behindDoc="0" locked="0" layoutInCell="1" allowOverlap="1" wp14:anchorId="6A474C78" wp14:editId="7AE6BE8E">
                <wp:simplePos x="0" y="0"/>
                <wp:positionH relativeFrom="margin">
                  <wp:align>center</wp:align>
                </wp:positionH>
                <wp:positionV relativeFrom="paragraph">
                  <wp:posOffset>2387951</wp:posOffset>
                </wp:positionV>
                <wp:extent cx="6029325" cy="3784600"/>
                <wp:effectExtent l="0" t="0" r="15875" b="25400"/>
                <wp:wrapSquare wrapText="bothSides"/>
                <wp:docPr id="4" name="Text Box 4"/>
                <wp:cNvGraphicFramePr/>
                <a:graphic xmlns:a="http://schemas.openxmlformats.org/drawingml/2006/main">
                  <a:graphicData uri="http://schemas.microsoft.com/office/word/2010/wordprocessingShape">
                    <wps:wsp>
                      <wps:cNvSpPr txBox="1"/>
                      <wps:spPr>
                        <a:xfrm>
                          <a:off x="0" y="0"/>
                          <a:ext cx="6029325" cy="3784600"/>
                        </a:xfrm>
                        <a:prstGeom prst="rect">
                          <a:avLst/>
                        </a:prstGeom>
                        <a:noFill/>
                        <a:ln w="6350">
                          <a:solidFill>
                            <a:prstClr val="black"/>
                          </a:solidFill>
                        </a:ln>
                        <a:effectLst/>
                      </wps:spPr>
                      <wps:txbx>
                        <w:txbxContent>
                          <w:p w14:paraId="1A41F209" w14:textId="2C18D838" w:rsidR="004507CE" w:rsidRPr="00430BED" w:rsidRDefault="004507CE" w:rsidP="00F75DE5">
                            <w:r w:rsidRPr="009973B0">
                              <w:rPr>
                                <w:noProof/>
                              </w:rPr>
                              <w:drawing>
                                <wp:inline distT="0" distB="0" distL="0" distR="0" wp14:anchorId="635CADF3" wp14:editId="724945B4">
                                  <wp:extent cx="4985886" cy="3544570"/>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0;margin-top:188.05pt;width:474.75pt;height:298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" filled="f" strokeweight=".5pt">
                <v:textbox>
                  <w:txbxContent>
                    <w:p w14:paraId="1A41F209" w14:textId="2C18D838" w:rsidR="004507CE" w:rsidRPr="00430BED" w:rsidRDefault="004507CE" w:rsidP="00F75DE5">
                      <w:r w:rsidRPr="009973B0">
                        <w:rPr>
                          <w:noProof/>
                        </w:rPr>
                        <w:drawing>
                          <wp:inline distT="0" distB="0" distL="0" distR="0" wp14:anchorId="635CADF3" wp14:editId="724945B4">
                            <wp:extent cx="4985886" cy="3544570"/>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0" r:qs="rId11" r:cs="rId12"/>
                              </a:graphicData>
                            </a:graphic>
                          </wp:inline>
                        </w:drawing>
                      </w:r>
                    </w:p>
                  </w:txbxContent>
                </v:textbox>
                <w10:wrap type="square" anchorx="margin"/>
              </v:shape>
            </w:pict>
          </mc:Fallback>
        </mc:AlternateContent>
      </w:r>
      <w:r w:rsidR="009D080F" w:rsidRPr="007C56DF">
        <w:rPr>
          <w:rFonts w:ascii="Times New Roman" w:hAnsi="Times New Roman" w:cs="Times New Roman"/>
        </w:rPr>
        <w:t xml:space="preserve">The second idea is that </w:t>
      </w:r>
      <w:r w:rsidR="00010D5F" w:rsidRPr="007C56DF">
        <w:rPr>
          <w:rFonts w:ascii="Times New Roman" w:hAnsi="Times New Roman" w:cs="Times New Roman"/>
        </w:rPr>
        <w:t>the teacher education system exists in a web of inter-related systems</w:t>
      </w:r>
      <w:r w:rsidR="006F2812" w:rsidRPr="007C56DF">
        <w:rPr>
          <w:rFonts w:ascii="Times New Roman" w:hAnsi="Times New Roman" w:cs="Times New Roman"/>
        </w:rPr>
        <w:t xml:space="preserve"> such as the state professional licensure system and P-12 school systems</w:t>
      </w:r>
      <w:r w:rsidR="00585B0F" w:rsidRPr="007C56DF">
        <w:rPr>
          <w:rFonts w:ascii="Times New Roman" w:hAnsi="Times New Roman" w:cs="Times New Roman"/>
        </w:rPr>
        <w:t xml:space="preserve"> that share boundaries and borders and whose conduct impacts and influences what happens in teacher education</w:t>
      </w:r>
      <w:r w:rsidR="00010D5F" w:rsidRPr="007C56DF">
        <w:rPr>
          <w:rFonts w:ascii="Times New Roman" w:hAnsi="Times New Roman" w:cs="Times New Roman"/>
        </w:rPr>
        <w:t xml:space="preserve">. </w:t>
      </w:r>
      <w:r w:rsidR="00B72BE9" w:rsidRPr="007C56DF">
        <w:rPr>
          <w:rFonts w:ascii="Times New Roman" w:hAnsi="Times New Roman" w:cs="Times New Roman"/>
        </w:rPr>
        <w:t xml:space="preserve"> These systems lack coherence and often, aligned outcomes.  Part of this misalignment stems from the piecemeal fashion </w:t>
      </w:r>
      <w:r w:rsidR="0092253D" w:rsidRPr="007C56DF">
        <w:rPr>
          <w:rFonts w:ascii="Times New Roman" w:hAnsi="Times New Roman" w:cs="Times New Roman"/>
        </w:rPr>
        <w:t xml:space="preserve">in which </w:t>
      </w:r>
      <w:r w:rsidR="00B72BE9" w:rsidRPr="007C56DF">
        <w:rPr>
          <w:rFonts w:ascii="Times New Roman" w:hAnsi="Times New Roman" w:cs="Times New Roman"/>
        </w:rPr>
        <w:t>teacher education systems</w:t>
      </w:r>
      <w:r w:rsidR="0092253D" w:rsidRPr="007C56DF">
        <w:rPr>
          <w:rFonts w:ascii="Times New Roman" w:hAnsi="Times New Roman" w:cs="Times New Roman"/>
        </w:rPr>
        <w:t xml:space="preserve"> </w:t>
      </w:r>
      <w:r w:rsidR="000E18C2" w:rsidRPr="007C56DF">
        <w:rPr>
          <w:rFonts w:ascii="Times New Roman" w:hAnsi="Times New Roman" w:cs="Times New Roman"/>
        </w:rPr>
        <w:t>develop</w:t>
      </w:r>
      <w:r w:rsidR="0092253D" w:rsidRPr="007C56DF">
        <w:rPr>
          <w:rFonts w:ascii="Times New Roman" w:hAnsi="Times New Roman" w:cs="Times New Roman"/>
        </w:rPr>
        <w:t xml:space="preserve"> over time</w:t>
      </w:r>
      <w:r w:rsidR="00B72BE9" w:rsidRPr="007C56DF">
        <w:rPr>
          <w:rFonts w:ascii="Times New Roman" w:hAnsi="Times New Roman" w:cs="Times New Roman"/>
        </w:rPr>
        <w:t xml:space="preserve">.  Some of it emerged from the disparate professional and regulatory groups that sought to influence how </w:t>
      </w:r>
    </w:p>
    <w:p w14:paraId="41949FDB" w14:textId="465118CF" w:rsidR="00740079" w:rsidRDefault="00740079" w:rsidP="00740079">
      <w:pPr>
        <w:ind w:firstLine="0"/>
        <w:rPr>
          <w:rFonts w:ascii="Times New Roman" w:hAnsi="Times New Roman" w:cs="Times New Roman"/>
        </w:rPr>
      </w:pPr>
      <w:r w:rsidRPr="00740079">
        <w:rPr>
          <w:rFonts w:ascii="Times New Roman" w:hAnsi="Times New Roman" w:cs="Times New Roman"/>
          <w:i/>
        </w:rPr>
        <w:t>Figure 1.</w:t>
      </w:r>
      <w:r w:rsidR="00AE56A5">
        <w:rPr>
          <w:rFonts w:ascii="Times New Roman" w:hAnsi="Times New Roman" w:cs="Times New Roman"/>
        </w:rPr>
        <w:t xml:space="preserve">  Framing the analysis of teacher education systems c</w:t>
      </w:r>
      <w:r w:rsidRPr="00740079">
        <w:rPr>
          <w:rFonts w:ascii="Times New Roman" w:hAnsi="Times New Roman" w:cs="Times New Roman"/>
        </w:rPr>
        <w:t>hange</w:t>
      </w:r>
      <w:r w:rsidR="00E73D3D">
        <w:rPr>
          <w:rFonts w:ascii="Times New Roman" w:hAnsi="Times New Roman" w:cs="Times New Roman"/>
        </w:rPr>
        <w:t>.</w:t>
      </w:r>
    </w:p>
    <w:p w14:paraId="64423F09" w14:textId="2843D403" w:rsidR="009D080F" w:rsidRPr="007C56DF" w:rsidRDefault="00B72BE9" w:rsidP="00740079">
      <w:pPr>
        <w:ind w:firstLine="0"/>
        <w:rPr>
          <w:rFonts w:ascii="Times New Roman" w:hAnsi="Times New Roman" w:cs="Times New Roman"/>
        </w:rPr>
      </w:pPr>
      <w:r w:rsidRPr="007C56DF">
        <w:rPr>
          <w:rFonts w:ascii="Times New Roman" w:hAnsi="Times New Roman" w:cs="Times New Roman"/>
        </w:rPr>
        <w:t>teachers are prepared and what they are able to do</w:t>
      </w:r>
      <w:r w:rsidR="002614F4" w:rsidRPr="007C56DF">
        <w:rPr>
          <w:rFonts w:ascii="Times New Roman" w:hAnsi="Times New Roman" w:cs="Times New Roman"/>
        </w:rPr>
        <w:t xml:space="preserve"> (Darling-Hammond, 2010)</w:t>
      </w:r>
      <w:r w:rsidRPr="007C56DF">
        <w:rPr>
          <w:rFonts w:ascii="Times New Roman" w:hAnsi="Times New Roman" w:cs="Times New Roman"/>
        </w:rPr>
        <w:t>.  What most groups seems to agree on is that i</w:t>
      </w:r>
      <w:r w:rsidR="00010D5F" w:rsidRPr="007C56DF">
        <w:rPr>
          <w:rFonts w:ascii="Times New Roman" w:hAnsi="Times New Roman" w:cs="Times New Roman"/>
        </w:rPr>
        <w:t>mproving teacher education must also improve outcomes for students</w:t>
      </w:r>
      <w:r w:rsidR="00FE6062" w:rsidRPr="007C56DF">
        <w:rPr>
          <w:rFonts w:ascii="Times New Roman" w:hAnsi="Times New Roman" w:cs="Times New Roman"/>
        </w:rPr>
        <w:t xml:space="preserve"> (Cochran-Smith, Gleeson, &amp; Mitchell, 2010)</w:t>
      </w:r>
      <w:r w:rsidR="00010D5F" w:rsidRPr="007C56DF">
        <w:rPr>
          <w:rFonts w:ascii="Times New Roman" w:hAnsi="Times New Roman" w:cs="Times New Roman"/>
        </w:rPr>
        <w:t xml:space="preserve">.  </w:t>
      </w:r>
      <w:r w:rsidRPr="007C56DF">
        <w:rPr>
          <w:rFonts w:ascii="Times New Roman" w:hAnsi="Times New Roman" w:cs="Times New Roman"/>
        </w:rPr>
        <w:t xml:space="preserve">The political will to improve teacher education is also complicated by emerging recognition that the </w:t>
      </w:r>
      <w:r w:rsidR="00010D5F" w:rsidRPr="007C56DF">
        <w:rPr>
          <w:rFonts w:ascii="Times New Roman" w:hAnsi="Times New Roman" w:cs="Times New Roman"/>
        </w:rPr>
        <w:t xml:space="preserve">path between what teachers learn and are able </w:t>
      </w:r>
      <w:r w:rsidR="00010D5F" w:rsidRPr="007C56DF">
        <w:rPr>
          <w:rFonts w:ascii="Times New Roman" w:hAnsi="Times New Roman" w:cs="Times New Roman"/>
        </w:rPr>
        <w:lastRenderedPageBreak/>
        <w:t>to do through th</w:t>
      </w:r>
      <w:r w:rsidR="00757AE7" w:rsidRPr="007C56DF">
        <w:rPr>
          <w:rFonts w:ascii="Times New Roman" w:hAnsi="Times New Roman" w:cs="Times New Roman"/>
        </w:rPr>
        <w:t xml:space="preserve">eir preparation is not </w:t>
      </w:r>
      <w:r w:rsidR="00010D5F" w:rsidRPr="007C56DF">
        <w:rPr>
          <w:rFonts w:ascii="Times New Roman" w:hAnsi="Times New Roman" w:cs="Times New Roman"/>
        </w:rPr>
        <w:t xml:space="preserve">solely responsible for what students produce as a result of </w:t>
      </w:r>
      <w:r w:rsidRPr="007C56DF">
        <w:rPr>
          <w:rFonts w:ascii="Times New Roman" w:hAnsi="Times New Roman" w:cs="Times New Roman"/>
        </w:rPr>
        <w:t>the daily work of teachers</w:t>
      </w:r>
      <w:r w:rsidR="004F4141" w:rsidRPr="007C56DF">
        <w:rPr>
          <w:rFonts w:ascii="Times New Roman" w:hAnsi="Times New Roman" w:cs="Times New Roman"/>
        </w:rPr>
        <w:t xml:space="preserve"> (Darling-Hammond, 2010)</w:t>
      </w:r>
      <w:r w:rsidR="00010D5F" w:rsidRPr="007C56DF">
        <w:rPr>
          <w:rFonts w:ascii="Times New Roman" w:hAnsi="Times New Roman" w:cs="Times New Roman"/>
        </w:rPr>
        <w:t>.</w:t>
      </w:r>
    </w:p>
    <w:p w14:paraId="0B6D8DB8" w14:textId="33D5D110" w:rsidR="009F5C3F" w:rsidRPr="007C56DF" w:rsidRDefault="00301839" w:rsidP="007C56DF">
      <w:pPr>
        <w:rPr>
          <w:rFonts w:ascii="Times New Roman" w:hAnsi="Times New Roman" w:cs="Times New Roman"/>
        </w:rPr>
      </w:pPr>
      <w:r w:rsidRPr="007C56DF">
        <w:rPr>
          <w:rFonts w:ascii="Times New Roman" w:hAnsi="Times New Roman" w:cs="Times New Roman"/>
          <w:b/>
        </w:rPr>
        <w:t xml:space="preserve">Context </w:t>
      </w:r>
      <w:r w:rsidR="006764FE" w:rsidRPr="007C56DF">
        <w:rPr>
          <w:rFonts w:ascii="Times New Roman" w:hAnsi="Times New Roman" w:cs="Times New Roman"/>
          <w:b/>
        </w:rPr>
        <w:t>Destabilizes Predictability and Sustainability</w:t>
      </w:r>
      <w:r w:rsidRPr="007C56DF">
        <w:rPr>
          <w:rFonts w:ascii="Times New Roman" w:hAnsi="Times New Roman" w:cs="Times New Roman"/>
          <w:b/>
        </w:rPr>
        <w:t xml:space="preserve">.  </w:t>
      </w:r>
      <w:r w:rsidRPr="007C56DF">
        <w:rPr>
          <w:rFonts w:ascii="Times New Roman" w:hAnsi="Times New Roman" w:cs="Times New Roman"/>
        </w:rPr>
        <w:t xml:space="preserve">While </w:t>
      </w:r>
      <w:r w:rsidR="006F2812" w:rsidRPr="007C56DF">
        <w:rPr>
          <w:rFonts w:ascii="Times New Roman" w:hAnsi="Times New Roman" w:cs="Times New Roman"/>
        </w:rPr>
        <w:t>globalization increasingly standardizes local activities</w:t>
      </w:r>
      <w:r w:rsidRPr="007C56DF">
        <w:rPr>
          <w:rFonts w:ascii="Times New Roman" w:hAnsi="Times New Roman" w:cs="Times New Roman"/>
        </w:rPr>
        <w:t xml:space="preserve">, </w:t>
      </w:r>
      <w:r w:rsidR="00E31EC4" w:rsidRPr="007C56DF">
        <w:rPr>
          <w:rFonts w:ascii="Times New Roman" w:hAnsi="Times New Roman" w:cs="Times New Roman"/>
        </w:rPr>
        <w:t xml:space="preserve">population </w:t>
      </w:r>
      <w:r w:rsidRPr="007C56DF">
        <w:rPr>
          <w:rFonts w:ascii="Times New Roman" w:hAnsi="Times New Roman" w:cs="Times New Roman"/>
        </w:rPr>
        <w:t xml:space="preserve">centers remain </w:t>
      </w:r>
      <w:r w:rsidR="006F2812" w:rsidRPr="007C56DF">
        <w:rPr>
          <w:rFonts w:ascii="Times New Roman" w:hAnsi="Times New Roman" w:cs="Times New Roman"/>
        </w:rPr>
        <w:t xml:space="preserve">deeply </w:t>
      </w:r>
      <w:r w:rsidRPr="007C56DF">
        <w:rPr>
          <w:rFonts w:ascii="Times New Roman" w:hAnsi="Times New Roman" w:cs="Times New Roman"/>
        </w:rPr>
        <w:t>influenced by the regional contexts in which they emerge</w:t>
      </w:r>
      <w:r w:rsidR="006F2812" w:rsidRPr="007C56DF">
        <w:rPr>
          <w:rFonts w:ascii="Times New Roman" w:hAnsi="Times New Roman" w:cs="Times New Roman"/>
        </w:rPr>
        <w:t>d</w:t>
      </w:r>
      <w:r w:rsidRPr="007C56DF">
        <w:rPr>
          <w:rFonts w:ascii="Times New Roman" w:hAnsi="Times New Roman" w:cs="Times New Roman"/>
        </w:rPr>
        <w:t xml:space="preserve">.  </w:t>
      </w:r>
      <w:r w:rsidR="006F2812" w:rsidRPr="007C56DF">
        <w:rPr>
          <w:rFonts w:ascii="Times New Roman" w:hAnsi="Times New Roman" w:cs="Times New Roman"/>
        </w:rPr>
        <w:t>Ci</w:t>
      </w:r>
      <w:r w:rsidRPr="007C56DF">
        <w:rPr>
          <w:rFonts w:ascii="Times New Roman" w:hAnsi="Times New Roman" w:cs="Times New Roman"/>
        </w:rPr>
        <w:t>ties vary greatly on socio-economic, political, linguistic, cultural, religious, and ethnic dimensions that are shaped by their geographi</w:t>
      </w:r>
      <w:r w:rsidR="00200DA1" w:rsidRPr="007C56DF">
        <w:rPr>
          <w:rFonts w:ascii="Times New Roman" w:hAnsi="Times New Roman" w:cs="Times New Roman"/>
        </w:rPr>
        <w:t>c</w:t>
      </w:r>
      <w:r w:rsidR="006F2812" w:rsidRPr="007C56DF">
        <w:rPr>
          <w:rFonts w:ascii="Times New Roman" w:hAnsi="Times New Roman" w:cs="Times New Roman"/>
        </w:rPr>
        <w:t xml:space="preserve">, </w:t>
      </w:r>
      <w:r w:rsidR="00200DA1" w:rsidRPr="007C56DF">
        <w:rPr>
          <w:rFonts w:ascii="Times New Roman" w:hAnsi="Times New Roman" w:cs="Times New Roman"/>
        </w:rPr>
        <w:t>economic</w:t>
      </w:r>
      <w:r w:rsidR="006F2812" w:rsidRPr="007C56DF">
        <w:rPr>
          <w:rFonts w:ascii="Times New Roman" w:hAnsi="Times New Roman" w:cs="Times New Roman"/>
        </w:rPr>
        <w:t>, and natural resource</w:t>
      </w:r>
      <w:r w:rsidR="00200DA1" w:rsidRPr="007C56DF">
        <w:rPr>
          <w:rFonts w:ascii="Times New Roman" w:hAnsi="Times New Roman" w:cs="Times New Roman"/>
        </w:rPr>
        <w:t xml:space="preserve"> histories (</w:t>
      </w:r>
      <w:r w:rsidR="00D702A5" w:rsidRPr="007C56DF">
        <w:rPr>
          <w:rFonts w:ascii="Times New Roman" w:hAnsi="Times New Roman" w:cs="Times New Roman"/>
        </w:rPr>
        <w:t>Soja, 1996</w:t>
      </w:r>
      <w:r w:rsidR="00200DA1" w:rsidRPr="007C56DF">
        <w:rPr>
          <w:rFonts w:ascii="Times New Roman" w:hAnsi="Times New Roman" w:cs="Times New Roman"/>
        </w:rPr>
        <w:t xml:space="preserve">). </w:t>
      </w:r>
      <w:r w:rsidRPr="007C56DF">
        <w:rPr>
          <w:rFonts w:ascii="Times New Roman" w:hAnsi="Times New Roman" w:cs="Times New Roman"/>
        </w:rPr>
        <w:t xml:space="preserve">According to the National Center on Educational Statistics, </w:t>
      </w:r>
      <w:r w:rsidR="00360E50" w:rsidRPr="007C56DF">
        <w:rPr>
          <w:rFonts w:ascii="Times New Roman" w:hAnsi="Times New Roman" w:cs="Times New Roman"/>
        </w:rPr>
        <w:t>38</w:t>
      </w:r>
      <w:r w:rsidRPr="007C56DF">
        <w:rPr>
          <w:rFonts w:ascii="Times New Roman" w:hAnsi="Times New Roman" w:cs="Times New Roman"/>
        </w:rPr>
        <w:t xml:space="preserve"> of the </w:t>
      </w:r>
      <w:r w:rsidR="00360E50" w:rsidRPr="007C56DF">
        <w:rPr>
          <w:rFonts w:ascii="Times New Roman" w:hAnsi="Times New Roman" w:cs="Times New Roman"/>
        </w:rPr>
        <w:t xml:space="preserve">100 </w:t>
      </w:r>
      <w:r w:rsidRPr="007C56DF">
        <w:rPr>
          <w:rFonts w:ascii="Times New Roman" w:hAnsi="Times New Roman" w:cs="Times New Roman"/>
        </w:rPr>
        <w:t>largest school systems in the United States are in the Southeast</w:t>
      </w:r>
      <w:r w:rsidR="00360E50" w:rsidRPr="007C56DF">
        <w:rPr>
          <w:rFonts w:ascii="Times New Roman" w:hAnsi="Times New Roman" w:cs="Times New Roman"/>
        </w:rPr>
        <w:t xml:space="preserve"> (14 of these are in Florida)</w:t>
      </w:r>
      <w:r w:rsidRPr="007C56DF">
        <w:rPr>
          <w:rFonts w:ascii="Times New Roman" w:hAnsi="Times New Roman" w:cs="Times New Roman"/>
        </w:rPr>
        <w:t xml:space="preserve">.  Surprisingly, only four of the largest school systems, including New York City with over a million students, are in the Northeast.  </w:t>
      </w:r>
      <w:r w:rsidR="00360E50" w:rsidRPr="007C56DF">
        <w:rPr>
          <w:rFonts w:ascii="Times New Roman" w:hAnsi="Times New Roman" w:cs="Times New Roman"/>
        </w:rPr>
        <w:t xml:space="preserve">Five </w:t>
      </w:r>
      <w:r w:rsidRPr="007C56DF">
        <w:rPr>
          <w:rFonts w:ascii="Times New Roman" w:hAnsi="Times New Roman" w:cs="Times New Roman"/>
        </w:rPr>
        <w:t>of the largest school systems, Chicago, Detroit</w:t>
      </w:r>
      <w:r w:rsidR="00F061AE" w:rsidRPr="007C56DF">
        <w:rPr>
          <w:rFonts w:ascii="Times New Roman" w:hAnsi="Times New Roman" w:cs="Times New Roman"/>
        </w:rPr>
        <w:t>,</w:t>
      </w:r>
      <w:r w:rsidR="00360E50" w:rsidRPr="007C56DF">
        <w:rPr>
          <w:rFonts w:ascii="Times New Roman" w:hAnsi="Times New Roman" w:cs="Times New Roman"/>
        </w:rPr>
        <w:t xml:space="preserve"> Milwaukee, Omaha, and Wichita</w:t>
      </w:r>
      <w:r w:rsidRPr="007C56DF">
        <w:rPr>
          <w:rFonts w:ascii="Times New Roman" w:hAnsi="Times New Roman" w:cs="Times New Roman"/>
        </w:rPr>
        <w:t xml:space="preserve"> are in the Midwest.  The Southwest boasts </w:t>
      </w:r>
      <w:r w:rsidR="00E31EC4" w:rsidRPr="007C56DF">
        <w:rPr>
          <w:rFonts w:ascii="Times New Roman" w:hAnsi="Times New Roman" w:cs="Times New Roman"/>
        </w:rPr>
        <w:t>21</w:t>
      </w:r>
      <w:r w:rsidRPr="007C56DF">
        <w:rPr>
          <w:rFonts w:ascii="Times New Roman" w:hAnsi="Times New Roman" w:cs="Times New Roman"/>
        </w:rPr>
        <w:t xml:space="preserve"> of the largest school systems, including </w:t>
      </w:r>
      <w:r w:rsidR="00360E50" w:rsidRPr="007C56DF">
        <w:rPr>
          <w:rFonts w:ascii="Times New Roman" w:hAnsi="Times New Roman" w:cs="Times New Roman"/>
        </w:rPr>
        <w:t>1</w:t>
      </w:r>
      <w:r w:rsidR="00E31EC4" w:rsidRPr="007C56DF">
        <w:rPr>
          <w:rFonts w:ascii="Times New Roman" w:hAnsi="Times New Roman" w:cs="Times New Roman"/>
        </w:rPr>
        <w:t>9</w:t>
      </w:r>
      <w:r w:rsidRPr="007C56DF">
        <w:rPr>
          <w:rFonts w:ascii="Times New Roman" w:hAnsi="Times New Roman" w:cs="Times New Roman"/>
        </w:rPr>
        <w:t xml:space="preserve"> in Texas.  On the Pacific Rim, </w:t>
      </w:r>
      <w:r w:rsidR="00E31EC4" w:rsidRPr="007C56DF">
        <w:rPr>
          <w:rFonts w:ascii="Times New Roman" w:hAnsi="Times New Roman" w:cs="Times New Roman"/>
        </w:rPr>
        <w:t>14</w:t>
      </w:r>
      <w:r w:rsidRPr="007C56DF">
        <w:rPr>
          <w:rFonts w:ascii="Times New Roman" w:hAnsi="Times New Roman" w:cs="Times New Roman"/>
        </w:rPr>
        <w:t xml:space="preserve"> school districts, including the State of Hawaii, make the list of the </w:t>
      </w:r>
      <w:r w:rsidR="00360E50" w:rsidRPr="007C56DF">
        <w:rPr>
          <w:rFonts w:ascii="Times New Roman" w:hAnsi="Times New Roman" w:cs="Times New Roman"/>
        </w:rPr>
        <w:t>100</w:t>
      </w:r>
      <w:r w:rsidRPr="007C56DF">
        <w:rPr>
          <w:rFonts w:ascii="Times New Roman" w:hAnsi="Times New Roman" w:cs="Times New Roman"/>
        </w:rPr>
        <w:t xml:space="preserve"> largest school systems.  Each of these regions of the country has been shaped by particular histories that converge in each school system’s governance, labor markets, economics, strategic planning and bureaucratic models.  </w:t>
      </w:r>
      <w:r w:rsidR="00360E50" w:rsidRPr="007C56DF">
        <w:rPr>
          <w:rFonts w:ascii="Times New Roman" w:hAnsi="Times New Roman" w:cs="Times New Roman"/>
        </w:rPr>
        <w:t>Moreover, the institutions of higher education who prepare teachers regionally, not only for these systems but for the 1</w:t>
      </w:r>
      <w:r w:rsidR="00E31EC4" w:rsidRPr="007C56DF">
        <w:rPr>
          <w:rFonts w:ascii="Times New Roman" w:hAnsi="Times New Roman" w:cs="Times New Roman"/>
        </w:rPr>
        <w:t>3</w:t>
      </w:r>
      <w:r w:rsidR="00360E50" w:rsidRPr="007C56DF">
        <w:rPr>
          <w:rFonts w:ascii="Times New Roman" w:hAnsi="Times New Roman" w:cs="Times New Roman"/>
        </w:rPr>
        <w:t>,</w:t>
      </w:r>
      <w:r w:rsidR="00E31EC4" w:rsidRPr="007C56DF">
        <w:rPr>
          <w:rFonts w:ascii="Times New Roman" w:hAnsi="Times New Roman" w:cs="Times New Roman"/>
        </w:rPr>
        <w:t>588 (Digest of Educational Statistics, 2012)</w:t>
      </w:r>
      <w:r w:rsidR="00360E50" w:rsidRPr="007C56DF">
        <w:rPr>
          <w:rFonts w:ascii="Times New Roman" w:hAnsi="Times New Roman" w:cs="Times New Roman"/>
        </w:rPr>
        <w:t xml:space="preserve"> school districts across the United States are also products of their regional contexts.  </w:t>
      </w:r>
    </w:p>
    <w:p w14:paraId="4D828B7A" w14:textId="72AF85B8" w:rsidR="00301839" w:rsidRPr="007C56DF" w:rsidRDefault="00301839" w:rsidP="007C56DF">
      <w:pPr>
        <w:rPr>
          <w:rFonts w:ascii="Times New Roman" w:hAnsi="Times New Roman" w:cs="Times New Roman"/>
        </w:rPr>
      </w:pPr>
      <w:r w:rsidRPr="007C56DF">
        <w:rPr>
          <w:rFonts w:ascii="Times New Roman" w:hAnsi="Times New Roman" w:cs="Times New Roman"/>
        </w:rPr>
        <w:t>Understanding this</w:t>
      </w:r>
      <w:r w:rsidR="00FA1D19" w:rsidRPr="007C56DF">
        <w:rPr>
          <w:rFonts w:ascii="Times New Roman" w:hAnsi="Times New Roman" w:cs="Times New Roman"/>
        </w:rPr>
        <w:t xml:space="preserve"> contextual complexity</w:t>
      </w:r>
      <w:r w:rsidRPr="007C56DF">
        <w:rPr>
          <w:rFonts w:ascii="Times New Roman" w:hAnsi="Times New Roman" w:cs="Times New Roman"/>
        </w:rPr>
        <w:t xml:space="preserve"> helps to clarify why attempts to </w:t>
      </w:r>
      <w:r w:rsidR="00360E50" w:rsidRPr="007C56DF">
        <w:rPr>
          <w:rFonts w:ascii="Times New Roman" w:hAnsi="Times New Roman" w:cs="Times New Roman"/>
        </w:rPr>
        <w:t xml:space="preserve">improve the quality of </w:t>
      </w:r>
      <w:r w:rsidR="00D00DCA" w:rsidRPr="007C56DF">
        <w:rPr>
          <w:rFonts w:ascii="Times New Roman" w:hAnsi="Times New Roman" w:cs="Times New Roman"/>
        </w:rPr>
        <w:t>novice</w:t>
      </w:r>
      <w:r w:rsidR="00FA1D19" w:rsidRPr="007C56DF">
        <w:rPr>
          <w:rFonts w:ascii="Times New Roman" w:hAnsi="Times New Roman" w:cs="Times New Roman"/>
        </w:rPr>
        <w:t xml:space="preserve"> </w:t>
      </w:r>
      <w:r w:rsidR="00360E50" w:rsidRPr="007C56DF">
        <w:rPr>
          <w:rFonts w:ascii="Times New Roman" w:hAnsi="Times New Roman" w:cs="Times New Roman"/>
        </w:rPr>
        <w:t>teacher</w:t>
      </w:r>
      <w:r w:rsidR="00FA1D19" w:rsidRPr="007C56DF">
        <w:rPr>
          <w:rFonts w:ascii="Times New Roman" w:hAnsi="Times New Roman" w:cs="Times New Roman"/>
        </w:rPr>
        <w:t>s</w:t>
      </w:r>
      <w:r w:rsidR="00360E50" w:rsidRPr="007C56DF">
        <w:rPr>
          <w:rFonts w:ascii="Times New Roman" w:hAnsi="Times New Roman" w:cs="Times New Roman"/>
        </w:rPr>
        <w:t xml:space="preserve"> need to ac</w:t>
      </w:r>
      <w:r w:rsidRPr="007C56DF">
        <w:rPr>
          <w:rFonts w:ascii="Times New Roman" w:hAnsi="Times New Roman" w:cs="Times New Roman"/>
        </w:rPr>
        <w:t xml:space="preserve">count for regional variation in the constellations of culture, economics, </w:t>
      </w:r>
      <w:r w:rsidR="00F061AE" w:rsidRPr="007C56DF">
        <w:rPr>
          <w:rFonts w:ascii="Times New Roman" w:hAnsi="Times New Roman" w:cs="Times New Roman"/>
        </w:rPr>
        <w:t>and</w:t>
      </w:r>
      <w:r w:rsidR="00FA1D19" w:rsidRPr="007C56DF">
        <w:rPr>
          <w:rFonts w:ascii="Times New Roman" w:hAnsi="Times New Roman" w:cs="Times New Roman"/>
        </w:rPr>
        <w:t xml:space="preserve"> work force</w:t>
      </w:r>
      <w:r w:rsidR="00F061AE" w:rsidRPr="007C56DF">
        <w:rPr>
          <w:rFonts w:ascii="Times New Roman" w:hAnsi="Times New Roman" w:cs="Times New Roman"/>
        </w:rPr>
        <w:t xml:space="preserve"> </w:t>
      </w:r>
      <w:r w:rsidRPr="007C56DF">
        <w:rPr>
          <w:rFonts w:ascii="Times New Roman" w:hAnsi="Times New Roman" w:cs="Times New Roman"/>
        </w:rPr>
        <w:t xml:space="preserve">traditions </w:t>
      </w:r>
      <w:r w:rsidR="00F061AE" w:rsidRPr="007C56DF">
        <w:rPr>
          <w:rFonts w:ascii="Times New Roman" w:hAnsi="Times New Roman" w:cs="Times New Roman"/>
        </w:rPr>
        <w:t xml:space="preserve">such as a reliance on union/management relationships </w:t>
      </w:r>
      <w:r w:rsidR="00D00DCA" w:rsidRPr="007C56DF">
        <w:rPr>
          <w:rFonts w:ascii="Times New Roman" w:hAnsi="Times New Roman" w:cs="Times New Roman"/>
        </w:rPr>
        <w:t>or</w:t>
      </w:r>
      <w:r w:rsidR="00FA1D19" w:rsidRPr="007C56DF">
        <w:rPr>
          <w:rFonts w:ascii="Times New Roman" w:hAnsi="Times New Roman" w:cs="Times New Roman"/>
        </w:rPr>
        <w:t xml:space="preserve"> the </w:t>
      </w:r>
      <w:r w:rsidR="00F061AE" w:rsidRPr="007C56DF">
        <w:rPr>
          <w:rFonts w:ascii="Times New Roman" w:hAnsi="Times New Roman" w:cs="Times New Roman"/>
        </w:rPr>
        <w:t xml:space="preserve">focus on a history of professional </w:t>
      </w:r>
      <w:r w:rsidRPr="007C56DF">
        <w:rPr>
          <w:rFonts w:ascii="Times New Roman" w:hAnsi="Times New Roman" w:cs="Times New Roman"/>
        </w:rPr>
        <w:t>bureaucracies</w:t>
      </w:r>
      <w:r w:rsidR="00F061AE" w:rsidRPr="007C56DF">
        <w:rPr>
          <w:rFonts w:ascii="Times New Roman" w:hAnsi="Times New Roman" w:cs="Times New Roman"/>
        </w:rPr>
        <w:t xml:space="preserve">.  Local politics such as the selection and composition of local boards of education, the selection of superintendents, the clout and influence </w:t>
      </w:r>
      <w:r w:rsidR="00F061AE" w:rsidRPr="007C56DF">
        <w:rPr>
          <w:rFonts w:ascii="Times New Roman" w:hAnsi="Times New Roman" w:cs="Times New Roman"/>
        </w:rPr>
        <w:lastRenderedPageBreak/>
        <w:t>of state departments of education, the involvement of governors in education agendas, the consolidation or sizing of local school districts influence the design of local education systems</w:t>
      </w:r>
      <w:r w:rsidR="00AF27F4" w:rsidRPr="007C56DF">
        <w:rPr>
          <w:rFonts w:ascii="Times New Roman" w:hAnsi="Times New Roman" w:cs="Times New Roman"/>
        </w:rPr>
        <w:t xml:space="preserve"> (Kozleski &amp; Thorius, 2014)</w:t>
      </w:r>
      <w:r w:rsidR="00F061AE" w:rsidRPr="007C56DF">
        <w:rPr>
          <w:rFonts w:ascii="Times New Roman" w:hAnsi="Times New Roman" w:cs="Times New Roman"/>
        </w:rPr>
        <w:t xml:space="preserve">.  </w:t>
      </w:r>
      <w:r w:rsidR="00200DA1" w:rsidRPr="007C56DF">
        <w:rPr>
          <w:rFonts w:ascii="Times New Roman" w:hAnsi="Times New Roman" w:cs="Times New Roman"/>
        </w:rPr>
        <w:t>Shaped by the culture of a White dominant society, schools and teachers struggle to meet the burgeoning influx of English language learners, racially, ethnically, and culturally diverse learners</w:t>
      </w:r>
      <w:r w:rsidR="008E6AD4" w:rsidRPr="007C56DF">
        <w:rPr>
          <w:rFonts w:ascii="Times New Roman" w:hAnsi="Times New Roman" w:cs="Times New Roman"/>
        </w:rPr>
        <w:t xml:space="preserve"> (Paris &amp; Alim, 2014)</w:t>
      </w:r>
      <w:r w:rsidR="00200DA1" w:rsidRPr="007C56DF">
        <w:rPr>
          <w:rFonts w:ascii="Times New Roman" w:hAnsi="Times New Roman" w:cs="Times New Roman"/>
        </w:rPr>
        <w:t xml:space="preserve">.  Increasingly, cities, suburbs, small towns, and rural areas </w:t>
      </w:r>
      <w:r w:rsidR="000E18C2" w:rsidRPr="007C56DF">
        <w:rPr>
          <w:rFonts w:ascii="Times New Roman" w:hAnsi="Times New Roman" w:cs="Times New Roman"/>
        </w:rPr>
        <w:t xml:space="preserve">remain </w:t>
      </w:r>
      <w:r w:rsidR="00200DA1" w:rsidRPr="007C56DF">
        <w:rPr>
          <w:rFonts w:ascii="Times New Roman" w:hAnsi="Times New Roman" w:cs="Times New Roman"/>
        </w:rPr>
        <w:t>sharply divided by demographics, values, and expectations for their local education systems (</w:t>
      </w:r>
      <w:r w:rsidR="002D24FB" w:rsidRPr="007C56DF">
        <w:rPr>
          <w:rFonts w:ascii="Times New Roman" w:hAnsi="Times New Roman" w:cs="Times New Roman"/>
        </w:rPr>
        <w:t>Henig, 2014</w:t>
      </w:r>
      <w:r w:rsidR="00200DA1" w:rsidRPr="007C56DF">
        <w:rPr>
          <w:rFonts w:ascii="Times New Roman" w:hAnsi="Times New Roman" w:cs="Times New Roman"/>
        </w:rPr>
        <w:t xml:space="preserve">).  Disappointing outcomes and multiple demands seep into local and state policy, converging in debate about curriculum, assessment, and performance outcomes.  </w:t>
      </w:r>
      <w:r w:rsidR="00BB4370" w:rsidRPr="007C56DF">
        <w:rPr>
          <w:rFonts w:ascii="Times New Roman" w:hAnsi="Times New Roman" w:cs="Times New Roman"/>
        </w:rPr>
        <w:t xml:space="preserve">Preparing teachers for each of these contexts is difficult.  Indeed, the work of preparing teachers is to make explicit the impact of these diverse contexts on how locality impacts the ways in which schools and school systems operate </w:t>
      </w:r>
      <w:r w:rsidR="00BB4370" w:rsidRPr="007C56DF">
        <w:rPr>
          <w:rFonts w:ascii="Times New Roman" w:hAnsi="Times New Roman" w:cs="Times New Roman"/>
          <w:i/>
        </w:rPr>
        <w:t>and</w:t>
      </w:r>
      <w:r w:rsidR="00BB4370" w:rsidRPr="007C56DF">
        <w:rPr>
          <w:rFonts w:ascii="Times New Roman" w:hAnsi="Times New Roman" w:cs="Times New Roman"/>
        </w:rPr>
        <w:t xml:space="preserve"> to continue to prepare teachers using the best information from learn</w:t>
      </w:r>
      <w:r w:rsidR="006F2812" w:rsidRPr="007C56DF">
        <w:rPr>
          <w:rFonts w:ascii="Times New Roman" w:hAnsi="Times New Roman" w:cs="Times New Roman"/>
        </w:rPr>
        <w:t xml:space="preserve">ing sciences and education.  </w:t>
      </w:r>
    </w:p>
    <w:p w14:paraId="5E1101E5" w14:textId="280ABC83" w:rsidR="00301839" w:rsidRPr="007C56DF" w:rsidRDefault="00F2627C" w:rsidP="007C56DF">
      <w:pPr>
        <w:rPr>
          <w:rFonts w:ascii="Times New Roman" w:hAnsi="Times New Roman" w:cs="Times New Roman"/>
        </w:rPr>
      </w:pPr>
      <w:r w:rsidRPr="007C56DF">
        <w:rPr>
          <w:rFonts w:ascii="Times New Roman" w:hAnsi="Times New Roman" w:cs="Times New Roman"/>
        </w:rPr>
        <w:t xml:space="preserve">The relationship between local systems and the regulatory clout of the </w:t>
      </w:r>
      <w:r w:rsidR="00200DA1" w:rsidRPr="007C56DF">
        <w:rPr>
          <w:rFonts w:ascii="Times New Roman" w:hAnsi="Times New Roman" w:cs="Times New Roman"/>
        </w:rPr>
        <w:t xml:space="preserve">state education agency (SEA) varies </w:t>
      </w:r>
      <w:r w:rsidRPr="007C56DF">
        <w:rPr>
          <w:rFonts w:ascii="Times New Roman" w:hAnsi="Times New Roman" w:cs="Times New Roman"/>
        </w:rPr>
        <w:t>between states</w:t>
      </w:r>
      <w:r w:rsidR="006B4BE8" w:rsidRPr="007C56DF">
        <w:rPr>
          <w:rFonts w:ascii="Times New Roman" w:hAnsi="Times New Roman" w:cs="Times New Roman"/>
        </w:rPr>
        <w:t xml:space="preserve"> (</w:t>
      </w:r>
      <w:r w:rsidR="002D24FB" w:rsidRPr="007C56DF">
        <w:rPr>
          <w:rFonts w:ascii="Times New Roman" w:hAnsi="Times New Roman" w:cs="Times New Roman"/>
        </w:rPr>
        <w:t>Henig, 2014</w:t>
      </w:r>
      <w:r w:rsidR="006B4BE8" w:rsidRPr="007C56DF">
        <w:rPr>
          <w:rFonts w:ascii="Times New Roman" w:hAnsi="Times New Roman" w:cs="Times New Roman"/>
        </w:rPr>
        <w:t>)</w:t>
      </w:r>
      <w:r w:rsidRPr="007C56DF">
        <w:rPr>
          <w:rFonts w:ascii="Times New Roman" w:hAnsi="Times New Roman" w:cs="Times New Roman"/>
        </w:rPr>
        <w:t>.  While federal education law flows to SEAs, the degree to which SEAs are able to influence local practice and the quality of teacher work force depends on state investments in state regulatory and continuous improvement structures and the design and quality assurance practices surrounding license to practice</w:t>
      </w:r>
      <w:r w:rsidR="006B4BE8" w:rsidRPr="007C56DF">
        <w:rPr>
          <w:rFonts w:ascii="Times New Roman" w:hAnsi="Times New Roman" w:cs="Times New Roman"/>
        </w:rPr>
        <w:t xml:space="preserve"> (</w:t>
      </w:r>
      <w:r w:rsidR="0003523A" w:rsidRPr="007C56DF">
        <w:rPr>
          <w:rFonts w:ascii="Times New Roman" w:hAnsi="Times New Roman" w:cs="Times New Roman"/>
        </w:rPr>
        <w:t>Darling-Hammond, 2013</w:t>
      </w:r>
      <w:r w:rsidR="006B4BE8" w:rsidRPr="007C56DF">
        <w:rPr>
          <w:rFonts w:ascii="Times New Roman" w:hAnsi="Times New Roman" w:cs="Times New Roman"/>
        </w:rPr>
        <w:t>)</w:t>
      </w:r>
      <w:r w:rsidRPr="007C56DF">
        <w:rPr>
          <w:rFonts w:ascii="Times New Roman" w:hAnsi="Times New Roman" w:cs="Times New Roman"/>
        </w:rPr>
        <w:t>.  Without state</w:t>
      </w:r>
      <w:r w:rsidR="00BB4370" w:rsidRPr="007C56DF">
        <w:rPr>
          <w:rFonts w:ascii="Times New Roman" w:hAnsi="Times New Roman" w:cs="Times New Roman"/>
        </w:rPr>
        <w:t>-wide</w:t>
      </w:r>
      <w:r w:rsidRPr="007C56DF">
        <w:rPr>
          <w:rFonts w:ascii="Times New Roman" w:hAnsi="Times New Roman" w:cs="Times New Roman"/>
        </w:rPr>
        <w:t xml:space="preserve"> investments in </w:t>
      </w:r>
      <w:r w:rsidR="006B4BE8" w:rsidRPr="007C56DF">
        <w:rPr>
          <w:rFonts w:ascii="Times New Roman" w:hAnsi="Times New Roman" w:cs="Times New Roman"/>
        </w:rPr>
        <w:t xml:space="preserve">state-wide </w:t>
      </w:r>
      <w:r w:rsidRPr="007C56DF">
        <w:rPr>
          <w:rFonts w:ascii="Times New Roman" w:hAnsi="Times New Roman" w:cs="Times New Roman"/>
        </w:rPr>
        <w:t xml:space="preserve">leadership and personnel, even the most robust </w:t>
      </w:r>
      <w:r w:rsidR="00200DA1" w:rsidRPr="007C56DF">
        <w:rPr>
          <w:rFonts w:ascii="Times New Roman" w:hAnsi="Times New Roman" w:cs="Times New Roman"/>
        </w:rPr>
        <w:t>policy re</w:t>
      </w:r>
      <w:r w:rsidRPr="007C56DF">
        <w:rPr>
          <w:rFonts w:ascii="Times New Roman" w:hAnsi="Times New Roman" w:cs="Times New Roman"/>
        </w:rPr>
        <w:t xml:space="preserve">designs will fail </w:t>
      </w:r>
      <w:r w:rsidR="00200DA1" w:rsidRPr="007C56DF">
        <w:rPr>
          <w:rFonts w:ascii="Times New Roman" w:hAnsi="Times New Roman" w:cs="Times New Roman"/>
        </w:rPr>
        <w:t xml:space="preserve">widespread </w:t>
      </w:r>
      <w:r w:rsidR="00B95098" w:rsidRPr="007C56DF">
        <w:rPr>
          <w:rFonts w:ascii="Times New Roman" w:hAnsi="Times New Roman" w:cs="Times New Roman"/>
        </w:rPr>
        <w:t>implementation</w:t>
      </w:r>
      <w:r w:rsidRPr="007C56DF">
        <w:rPr>
          <w:rFonts w:ascii="Times New Roman" w:hAnsi="Times New Roman" w:cs="Times New Roman"/>
        </w:rPr>
        <w:t>.  Further, public and private teacher education institutions have their own agendas and perspectives on the design and development of teacher education</w:t>
      </w:r>
      <w:r w:rsidR="006B4BE8" w:rsidRPr="007C56DF">
        <w:rPr>
          <w:rFonts w:ascii="Times New Roman" w:hAnsi="Times New Roman" w:cs="Times New Roman"/>
        </w:rPr>
        <w:t xml:space="preserve"> (</w:t>
      </w:r>
      <w:r w:rsidR="0003523A" w:rsidRPr="007C56DF">
        <w:rPr>
          <w:rFonts w:ascii="Times New Roman" w:hAnsi="Times New Roman" w:cs="Times New Roman"/>
        </w:rPr>
        <w:t>Cochran-Smith, McQuillan, Mitchell, Terrell, Barnatt, D’Souza, Jong, Shakman, Lam &amp; Gleeson, 2012</w:t>
      </w:r>
      <w:r w:rsidR="006B4BE8" w:rsidRPr="007C56DF">
        <w:rPr>
          <w:rFonts w:ascii="Times New Roman" w:hAnsi="Times New Roman" w:cs="Times New Roman"/>
        </w:rPr>
        <w:t>)</w:t>
      </w:r>
      <w:r w:rsidRPr="007C56DF">
        <w:rPr>
          <w:rFonts w:ascii="Times New Roman" w:hAnsi="Times New Roman" w:cs="Times New Roman"/>
        </w:rPr>
        <w:t xml:space="preserve">. </w:t>
      </w:r>
      <w:r w:rsidR="006B4BE8" w:rsidRPr="007C56DF">
        <w:rPr>
          <w:rFonts w:ascii="Times New Roman" w:hAnsi="Times New Roman" w:cs="Times New Roman"/>
        </w:rPr>
        <w:t xml:space="preserve">Their success depends on </w:t>
      </w:r>
      <w:r w:rsidRPr="007C56DF">
        <w:rPr>
          <w:rFonts w:ascii="Times New Roman" w:hAnsi="Times New Roman" w:cs="Times New Roman"/>
        </w:rPr>
        <w:t xml:space="preserve">effective convergence between how teachers are developed, the roles they are expected to play, and the content they are </w:t>
      </w:r>
      <w:r w:rsidR="006C2F61" w:rsidRPr="007C56DF">
        <w:rPr>
          <w:rFonts w:ascii="Times New Roman" w:hAnsi="Times New Roman" w:cs="Times New Roman"/>
        </w:rPr>
        <w:t xml:space="preserve">expected </w:t>
      </w:r>
      <w:r w:rsidRPr="007C56DF">
        <w:rPr>
          <w:rFonts w:ascii="Times New Roman" w:hAnsi="Times New Roman" w:cs="Times New Roman"/>
        </w:rPr>
        <w:t xml:space="preserve">to </w:t>
      </w:r>
      <w:r w:rsidRPr="007C56DF">
        <w:rPr>
          <w:rFonts w:ascii="Times New Roman" w:hAnsi="Times New Roman" w:cs="Times New Roman"/>
        </w:rPr>
        <w:lastRenderedPageBreak/>
        <w:t>deliver</w:t>
      </w:r>
      <w:r w:rsidR="006B4BE8" w:rsidRPr="007C56DF">
        <w:rPr>
          <w:rFonts w:ascii="Times New Roman" w:hAnsi="Times New Roman" w:cs="Times New Roman"/>
        </w:rPr>
        <w:t xml:space="preserve">.  </w:t>
      </w:r>
      <w:r w:rsidR="006C2F61" w:rsidRPr="007C56DF">
        <w:rPr>
          <w:rFonts w:ascii="Times New Roman" w:hAnsi="Times New Roman" w:cs="Times New Roman"/>
        </w:rPr>
        <w:t>In the a</w:t>
      </w:r>
      <w:r w:rsidR="006B4BE8" w:rsidRPr="007C56DF">
        <w:rPr>
          <w:rFonts w:ascii="Times New Roman" w:hAnsi="Times New Roman" w:cs="Times New Roman"/>
        </w:rPr>
        <w:t>bsen</w:t>
      </w:r>
      <w:r w:rsidR="006C2F61" w:rsidRPr="007C56DF">
        <w:rPr>
          <w:rFonts w:ascii="Times New Roman" w:hAnsi="Times New Roman" w:cs="Times New Roman"/>
        </w:rPr>
        <w:t>ce</w:t>
      </w:r>
      <w:r w:rsidR="006B4BE8" w:rsidRPr="007C56DF">
        <w:rPr>
          <w:rFonts w:ascii="Times New Roman" w:hAnsi="Times New Roman" w:cs="Times New Roman"/>
        </w:rPr>
        <w:t xml:space="preserve"> this convergence</w:t>
      </w:r>
      <w:r w:rsidR="0003523A" w:rsidRPr="007C56DF">
        <w:rPr>
          <w:rFonts w:ascii="Times New Roman" w:hAnsi="Times New Roman" w:cs="Times New Roman"/>
        </w:rPr>
        <w:t>, focused on achieving high quality academic and social outcomes for all students in all schools</w:t>
      </w:r>
      <w:r w:rsidR="006B4BE8" w:rsidRPr="007C56DF">
        <w:rPr>
          <w:rFonts w:ascii="Times New Roman" w:hAnsi="Times New Roman" w:cs="Times New Roman"/>
        </w:rPr>
        <w:t>,</w:t>
      </w:r>
      <w:r w:rsidRPr="007C56DF">
        <w:rPr>
          <w:rFonts w:ascii="Times New Roman" w:hAnsi="Times New Roman" w:cs="Times New Roman"/>
        </w:rPr>
        <w:t xml:space="preserve"> effect</w:t>
      </w:r>
      <w:r w:rsidR="0006255C" w:rsidRPr="007C56DF">
        <w:rPr>
          <w:rFonts w:ascii="Times New Roman" w:hAnsi="Times New Roman" w:cs="Times New Roman"/>
        </w:rPr>
        <w:t xml:space="preserve">ive schools and systems will </w:t>
      </w:r>
      <w:r w:rsidR="006764FE" w:rsidRPr="007C56DF">
        <w:rPr>
          <w:rFonts w:ascii="Times New Roman" w:hAnsi="Times New Roman" w:cs="Times New Roman"/>
        </w:rPr>
        <w:t xml:space="preserve">remain in pockets of excellence </w:t>
      </w:r>
      <w:r w:rsidR="00D72D8D" w:rsidRPr="007C56DF">
        <w:rPr>
          <w:rFonts w:ascii="Times New Roman" w:hAnsi="Times New Roman" w:cs="Times New Roman"/>
        </w:rPr>
        <w:t>that tend to serve</w:t>
      </w:r>
      <w:r w:rsidR="006764FE" w:rsidRPr="007C56DF">
        <w:rPr>
          <w:rFonts w:ascii="Times New Roman" w:hAnsi="Times New Roman" w:cs="Times New Roman"/>
        </w:rPr>
        <w:t xml:space="preserve"> students who live in high</w:t>
      </w:r>
      <w:r w:rsidR="00FA1D19" w:rsidRPr="007C56DF">
        <w:rPr>
          <w:rFonts w:ascii="Times New Roman" w:hAnsi="Times New Roman" w:cs="Times New Roman"/>
        </w:rPr>
        <w:t>-</w:t>
      </w:r>
      <w:r w:rsidR="006764FE" w:rsidRPr="007C56DF">
        <w:rPr>
          <w:rFonts w:ascii="Times New Roman" w:hAnsi="Times New Roman" w:cs="Times New Roman"/>
        </w:rPr>
        <w:t>income areas with families who have attained high levels of education</w:t>
      </w:r>
      <w:r w:rsidR="00BB4370" w:rsidRPr="007C56DF">
        <w:rPr>
          <w:rFonts w:ascii="Times New Roman" w:hAnsi="Times New Roman" w:cs="Times New Roman"/>
        </w:rPr>
        <w:t xml:space="preserve"> (Henig, 2014)</w:t>
      </w:r>
      <w:r w:rsidR="006764FE" w:rsidRPr="007C56DF">
        <w:rPr>
          <w:rFonts w:ascii="Times New Roman" w:hAnsi="Times New Roman" w:cs="Times New Roman"/>
        </w:rPr>
        <w:t xml:space="preserve">.  </w:t>
      </w:r>
      <w:r w:rsidR="00FA1D19" w:rsidRPr="007C56DF">
        <w:rPr>
          <w:rFonts w:ascii="Times New Roman" w:hAnsi="Times New Roman" w:cs="Times New Roman"/>
        </w:rPr>
        <w:t>Moreover, n</w:t>
      </w:r>
      <w:r w:rsidR="006764FE" w:rsidRPr="007C56DF">
        <w:rPr>
          <w:rFonts w:ascii="Times New Roman" w:hAnsi="Times New Roman" w:cs="Times New Roman"/>
        </w:rPr>
        <w:t xml:space="preserve">ational and state policies can </w:t>
      </w:r>
      <w:r w:rsidR="006B4BE8" w:rsidRPr="007C56DF">
        <w:rPr>
          <w:rFonts w:ascii="Times New Roman" w:hAnsi="Times New Roman" w:cs="Times New Roman"/>
        </w:rPr>
        <w:t xml:space="preserve">be </w:t>
      </w:r>
      <w:r w:rsidR="006764FE" w:rsidRPr="007C56DF">
        <w:rPr>
          <w:rFonts w:ascii="Times New Roman" w:hAnsi="Times New Roman" w:cs="Times New Roman"/>
        </w:rPr>
        <w:t xml:space="preserve">destabilized and weakened by </w:t>
      </w:r>
      <w:r w:rsidR="00BB4370" w:rsidRPr="007C56DF">
        <w:rPr>
          <w:rFonts w:ascii="Times New Roman" w:hAnsi="Times New Roman" w:cs="Times New Roman"/>
        </w:rPr>
        <w:t xml:space="preserve">inaccurate, incomplete </w:t>
      </w:r>
      <w:r w:rsidR="006764FE" w:rsidRPr="007C56DF">
        <w:rPr>
          <w:rFonts w:ascii="Times New Roman" w:hAnsi="Times New Roman" w:cs="Times New Roman"/>
        </w:rPr>
        <w:t>assumptions about</w:t>
      </w:r>
      <w:r w:rsidR="00D72D8D" w:rsidRPr="007C56DF">
        <w:rPr>
          <w:rFonts w:ascii="Times New Roman" w:hAnsi="Times New Roman" w:cs="Times New Roman"/>
        </w:rPr>
        <w:t xml:space="preserve"> and implementation strategies for</w:t>
      </w:r>
      <w:r w:rsidR="006764FE" w:rsidRPr="007C56DF">
        <w:rPr>
          <w:rFonts w:ascii="Times New Roman" w:hAnsi="Times New Roman" w:cs="Times New Roman"/>
        </w:rPr>
        <w:t xml:space="preserve"> local practice</w:t>
      </w:r>
      <w:r w:rsidR="00D72D8D" w:rsidRPr="007C56DF">
        <w:rPr>
          <w:rFonts w:ascii="Times New Roman" w:hAnsi="Times New Roman" w:cs="Times New Roman"/>
        </w:rPr>
        <w:t xml:space="preserve"> (Fixsen, Blase, Metz, &amp; Van Dyke, 2013)</w:t>
      </w:r>
      <w:r w:rsidR="00BB4370" w:rsidRPr="007C56DF">
        <w:rPr>
          <w:rFonts w:ascii="Times New Roman" w:hAnsi="Times New Roman" w:cs="Times New Roman"/>
        </w:rPr>
        <w:t>.</w:t>
      </w:r>
    </w:p>
    <w:p w14:paraId="61431E22" w14:textId="30E3E591" w:rsidR="006764FE" w:rsidRPr="007C56DF" w:rsidRDefault="006764FE" w:rsidP="007C56DF">
      <w:pPr>
        <w:rPr>
          <w:rFonts w:ascii="Times New Roman" w:hAnsi="Times New Roman" w:cs="Times New Roman"/>
        </w:rPr>
      </w:pPr>
      <w:r w:rsidRPr="007C56DF">
        <w:rPr>
          <w:rFonts w:ascii="Times New Roman" w:hAnsi="Times New Roman" w:cs="Times New Roman"/>
        </w:rPr>
        <w:t xml:space="preserve">Complexity theory offers a language for understanding the intersections and multilayered effect of competing priorities, active resistance, and </w:t>
      </w:r>
      <w:r w:rsidR="00FF69DC" w:rsidRPr="007C56DF">
        <w:rPr>
          <w:rFonts w:ascii="Times New Roman" w:hAnsi="Times New Roman" w:cs="Times New Roman"/>
        </w:rPr>
        <w:t>discontinuities in systems and resources</w:t>
      </w:r>
      <w:r w:rsidR="006B4BE8" w:rsidRPr="007C56DF">
        <w:rPr>
          <w:rFonts w:ascii="Times New Roman" w:hAnsi="Times New Roman" w:cs="Times New Roman"/>
        </w:rPr>
        <w:t xml:space="preserve"> (</w:t>
      </w:r>
      <w:r w:rsidR="00BB4370" w:rsidRPr="007C56DF">
        <w:rPr>
          <w:rFonts w:ascii="Times New Roman" w:hAnsi="Times New Roman" w:cs="Times New Roman"/>
        </w:rPr>
        <w:t>Davis &amp; Sumara, 2006</w:t>
      </w:r>
      <w:r w:rsidR="006B4BE8" w:rsidRPr="007C56DF">
        <w:rPr>
          <w:rFonts w:ascii="Times New Roman" w:hAnsi="Times New Roman" w:cs="Times New Roman"/>
        </w:rPr>
        <w:t>)</w:t>
      </w:r>
      <w:r w:rsidR="00FF69DC" w:rsidRPr="007C56DF">
        <w:rPr>
          <w:rFonts w:ascii="Times New Roman" w:hAnsi="Times New Roman" w:cs="Times New Roman"/>
        </w:rPr>
        <w:t xml:space="preserve">.  </w:t>
      </w:r>
      <w:r w:rsidR="00EC636E" w:rsidRPr="007C56DF">
        <w:rPr>
          <w:rFonts w:ascii="Times New Roman" w:hAnsi="Times New Roman" w:cs="Times New Roman"/>
        </w:rPr>
        <w:t xml:space="preserve">Complexity theory helps to remind us that many complex systems, like education, have developed organically, locally, and historically through policy, practice, and research that are co-dependent and inter-linked but not necessarily </w:t>
      </w:r>
      <w:r w:rsidR="00EC636E" w:rsidRPr="007C56DF">
        <w:rPr>
          <w:rFonts w:ascii="Times New Roman" w:hAnsi="Times New Roman" w:cs="Times New Roman"/>
          <w:i/>
        </w:rPr>
        <w:t xml:space="preserve">designed </w:t>
      </w:r>
      <w:r w:rsidR="00EC636E" w:rsidRPr="007C56DF">
        <w:rPr>
          <w:rFonts w:ascii="Times New Roman" w:hAnsi="Times New Roman" w:cs="Times New Roman"/>
        </w:rPr>
        <w:t>to work together.  Thus, teacher education, the politics of local schools and districts, their relationships to the needs of states, accountability in its many forms, and the needs of families and children are complex</w:t>
      </w:r>
      <w:r w:rsidR="009F5C3F" w:rsidRPr="007C56DF">
        <w:rPr>
          <w:rFonts w:ascii="Times New Roman" w:hAnsi="Times New Roman" w:cs="Times New Roman"/>
        </w:rPr>
        <w:t>ly interwoven</w:t>
      </w:r>
      <w:r w:rsidR="00EC636E" w:rsidRPr="007C56DF">
        <w:rPr>
          <w:rFonts w:ascii="Times New Roman" w:hAnsi="Times New Roman" w:cs="Times New Roman"/>
        </w:rPr>
        <w:t xml:space="preserve"> and transcend the capacities of singular units to scale and sustain innovation and change.  There is ambiguity in how these </w:t>
      </w:r>
      <w:r w:rsidR="009D080F" w:rsidRPr="007C56DF">
        <w:rPr>
          <w:rFonts w:ascii="Times New Roman" w:hAnsi="Times New Roman" w:cs="Times New Roman"/>
        </w:rPr>
        <w:t>elements intersect and interact</w:t>
      </w:r>
      <w:r w:rsidR="00EC636E" w:rsidRPr="007C56DF">
        <w:rPr>
          <w:rFonts w:ascii="Times New Roman" w:hAnsi="Times New Roman" w:cs="Times New Roman"/>
        </w:rPr>
        <w:t xml:space="preserve"> </w:t>
      </w:r>
      <w:r w:rsidR="009D080F" w:rsidRPr="007C56DF">
        <w:rPr>
          <w:rFonts w:ascii="Times New Roman" w:hAnsi="Times New Roman" w:cs="Times New Roman"/>
        </w:rPr>
        <w:t xml:space="preserve">in spite of policy intended to describe and focus the relationships.  </w:t>
      </w:r>
      <w:r w:rsidR="00EC636E" w:rsidRPr="007C56DF">
        <w:rPr>
          <w:rFonts w:ascii="Times New Roman" w:hAnsi="Times New Roman" w:cs="Times New Roman"/>
        </w:rPr>
        <w:t xml:space="preserve"> </w:t>
      </w:r>
      <w:r w:rsidR="009F5C3F" w:rsidRPr="007C56DF">
        <w:rPr>
          <w:rFonts w:ascii="Times New Roman" w:hAnsi="Times New Roman" w:cs="Times New Roman"/>
        </w:rPr>
        <w:t>Complexity theory</w:t>
      </w:r>
      <w:r w:rsidR="00FF69DC" w:rsidRPr="007C56DF">
        <w:rPr>
          <w:rFonts w:ascii="Times New Roman" w:hAnsi="Times New Roman" w:cs="Times New Roman"/>
        </w:rPr>
        <w:t xml:space="preserve"> accounts for nonlinearity in the relationship between output and input, underscoring the notion that </w:t>
      </w:r>
      <w:r w:rsidR="002B3C4A" w:rsidRPr="007C56DF">
        <w:rPr>
          <w:rFonts w:ascii="Times New Roman" w:hAnsi="Times New Roman" w:cs="Times New Roman"/>
        </w:rPr>
        <w:t xml:space="preserve">inputs calibrated </w:t>
      </w:r>
      <w:r w:rsidR="00FF69DC" w:rsidRPr="007C56DF">
        <w:rPr>
          <w:rFonts w:ascii="Times New Roman" w:hAnsi="Times New Roman" w:cs="Times New Roman"/>
        </w:rPr>
        <w:t>to prim</w:t>
      </w:r>
      <w:r w:rsidR="002B3C4A" w:rsidRPr="007C56DF">
        <w:rPr>
          <w:rFonts w:ascii="Times New Roman" w:hAnsi="Times New Roman" w:cs="Times New Roman"/>
        </w:rPr>
        <w:t>e</w:t>
      </w:r>
      <w:r w:rsidR="00FF69DC" w:rsidRPr="007C56DF">
        <w:rPr>
          <w:rFonts w:ascii="Times New Roman" w:hAnsi="Times New Roman" w:cs="Times New Roman"/>
        </w:rPr>
        <w:t xml:space="preserve"> systems</w:t>
      </w:r>
      <w:r w:rsidR="002B3C4A" w:rsidRPr="007C56DF">
        <w:rPr>
          <w:rFonts w:ascii="Times New Roman" w:hAnsi="Times New Roman" w:cs="Times New Roman"/>
        </w:rPr>
        <w:t xml:space="preserve"> for successful outcomes</w:t>
      </w:r>
      <w:r w:rsidR="00FF69DC" w:rsidRPr="007C56DF">
        <w:rPr>
          <w:rFonts w:ascii="Times New Roman" w:hAnsi="Times New Roman" w:cs="Times New Roman"/>
        </w:rPr>
        <w:t xml:space="preserve"> do not necessarily result in proportional outcomes</w:t>
      </w:r>
      <w:r w:rsidR="001562CE" w:rsidRPr="007C56DF">
        <w:rPr>
          <w:rFonts w:ascii="Times New Roman" w:hAnsi="Times New Roman" w:cs="Times New Roman"/>
        </w:rPr>
        <w:t xml:space="preserve"> (Gibson &amp; Knezek, 2010)</w:t>
      </w:r>
      <w:r w:rsidR="00FF69DC" w:rsidRPr="007C56DF">
        <w:rPr>
          <w:rFonts w:ascii="Times New Roman" w:hAnsi="Times New Roman" w:cs="Times New Roman"/>
        </w:rPr>
        <w:t xml:space="preserve">.  </w:t>
      </w:r>
      <w:r w:rsidR="00200DA1" w:rsidRPr="007C56DF">
        <w:rPr>
          <w:rFonts w:ascii="Times New Roman" w:hAnsi="Times New Roman" w:cs="Times New Roman"/>
        </w:rPr>
        <w:t xml:space="preserve">For instance, federal funding to pay teacher education loans for teachers who take jobs in high poverty schools may not produce </w:t>
      </w:r>
      <w:r w:rsidR="002B3C4A" w:rsidRPr="007C56DF">
        <w:rPr>
          <w:rFonts w:ascii="Times New Roman" w:hAnsi="Times New Roman" w:cs="Times New Roman"/>
        </w:rPr>
        <w:t>sufficient numbers of teachers in urban schools</w:t>
      </w:r>
      <w:r w:rsidR="005F7B3C" w:rsidRPr="007C56DF">
        <w:rPr>
          <w:rFonts w:ascii="Times New Roman" w:hAnsi="Times New Roman" w:cs="Times New Roman"/>
        </w:rPr>
        <w:t xml:space="preserve"> because human capital decisions are influenced by social, material, and institutional capital </w:t>
      </w:r>
      <w:r w:rsidR="005F7B3C" w:rsidRPr="007C56DF">
        <w:rPr>
          <w:rFonts w:ascii="Times New Roman" w:hAnsi="Times New Roman" w:cs="Times New Roman"/>
        </w:rPr>
        <w:fldChar w:fldCharType="begin"/>
      </w:r>
      <w:r w:rsidR="005F7B3C" w:rsidRPr="007C56DF">
        <w:rPr>
          <w:rFonts w:ascii="Times New Roman" w:hAnsi="Times New Roman" w:cs="Times New Roman"/>
        </w:rPr>
        <w:instrText xml:space="preserve"> ADDIN EN.CITE &lt;EndNote&gt;&lt;Cite&gt;&lt;Author&gt;Spillane&lt;/Author&gt;&lt;Year&gt;2009&lt;/Year&gt;&lt;RecNum&gt;47&lt;/RecNum&gt;&lt;DisplayText&gt;(Spillane, 2009)&lt;/DisplayText&gt;&lt;record&gt;&lt;rec-number&gt;47&lt;/rec-number&gt;&lt;foreign-keys&gt;&lt;key app="EN" db-id="2wssdxr0kxzv0fe0et5xetd1pwe2aa25erzt"&gt;47&lt;/key&gt;&lt;/foreign-keys&gt;&lt;ref-type name="Book Section"&gt;5&lt;/ref-type&gt;&lt;contributors&gt;&lt;authors&gt;&lt;author&gt;Spillane, J., Gomez, L. M., &amp;amp; Mesler, L. &lt;/author&gt;&lt;/authors&gt;&lt;secondary-authors&gt;&lt;author&gt;Sykes, G., Schneider, B. &amp;amp; Plank, D. N. with Ford, T. G.&lt;/author&gt;&lt;/secondary-authors&gt;&lt;/contributors&gt;&lt;titles&gt;&lt;title&gt;Notes on reframing the role of organizations in policy implementation:  Resources for Practice, in Practice&lt;/title&gt;&lt;secondary-title&gt;Handbooks of Education Policy Research&lt;/secondary-title&gt;&lt;/titles&gt;&lt;dates&gt;&lt;year&gt;2009&lt;/year&gt;&lt;/dates&gt;&lt;pub-location&gt;New York&lt;/pub-location&gt;&lt;publisher&gt;Routledge&lt;/publisher&gt;&lt;urls&gt;&lt;/urls&gt;&lt;research-notes&gt;Human, Material, Social, and Leadership capital.  The extra system consists of charters, textbook manufacturerrs, assessment companies, consulting firms, technology firms, etc.  Teachers implement what they understand and what they understand is constrained by their existing knowledge and skills.  Practice is constituted in interaction among people.  Microproccess are the vehicles for sensemaking and enactment of environments.  Innovation will occur where practice is located.  The central system (feds) should function as the facilitator of learning not the trainer.  &lt;/research-notes&gt;&lt;/record&gt;&lt;/Cite&gt;&lt;/EndNote&gt;</w:instrText>
      </w:r>
      <w:r w:rsidR="005F7B3C" w:rsidRPr="007C56DF">
        <w:rPr>
          <w:rFonts w:ascii="Times New Roman" w:hAnsi="Times New Roman" w:cs="Times New Roman"/>
        </w:rPr>
        <w:fldChar w:fldCharType="separate"/>
      </w:r>
      <w:r w:rsidR="005F7B3C" w:rsidRPr="007C56DF">
        <w:rPr>
          <w:rFonts w:ascii="Times New Roman" w:hAnsi="Times New Roman" w:cs="Times New Roman"/>
          <w:noProof/>
        </w:rPr>
        <w:t>(</w:t>
      </w:r>
      <w:hyperlink w:anchor="_ENREF_8" w:tooltip="Spillane, 2009 #47" w:history="1">
        <w:r w:rsidR="00B117A9" w:rsidRPr="007C56DF">
          <w:rPr>
            <w:rFonts w:ascii="Times New Roman" w:hAnsi="Times New Roman" w:cs="Times New Roman"/>
            <w:noProof/>
          </w:rPr>
          <w:t>Spillane, 2009</w:t>
        </w:r>
      </w:hyperlink>
      <w:r w:rsidR="005F7B3C" w:rsidRPr="007C56DF">
        <w:rPr>
          <w:rFonts w:ascii="Times New Roman" w:hAnsi="Times New Roman" w:cs="Times New Roman"/>
          <w:noProof/>
        </w:rPr>
        <w:t>)</w:t>
      </w:r>
      <w:r w:rsidR="005F7B3C" w:rsidRPr="007C56DF">
        <w:rPr>
          <w:rFonts w:ascii="Times New Roman" w:hAnsi="Times New Roman" w:cs="Times New Roman"/>
        </w:rPr>
        <w:fldChar w:fldCharType="end"/>
      </w:r>
      <w:r w:rsidR="005F7B3C" w:rsidRPr="007C56DF">
        <w:rPr>
          <w:rFonts w:ascii="Times New Roman" w:hAnsi="Times New Roman" w:cs="Times New Roman"/>
        </w:rPr>
        <w:t>. Conversely</w:t>
      </w:r>
      <w:r w:rsidR="00FF69DC" w:rsidRPr="007C56DF">
        <w:rPr>
          <w:rFonts w:ascii="Times New Roman" w:hAnsi="Times New Roman" w:cs="Times New Roman"/>
        </w:rPr>
        <w:t xml:space="preserve">, small changes can produce substantial shifts </w:t>
      </w:r>
      <w:r w:rsidR="005F7B3C" w:rsidRPr="007C56DF">
        <w:rPr>
          <w:rFonts w:ascii="Times New Roman" w:hAnsi="Times New Roman" w:cs="Times New Roman"/>
        </w:rPr>
        <w:t>while</w:t>
      </w:r>
      <w:r w:rsidR="00FF69DC" w:rsidRPr="007C56DF">
        <w:rPr>
          <w:rFonts w:ascii="Times New Roman" w:hAnsi="Times New Roman" w:cs="Times New Roman"/>
        </w:rPr>
        <w:t xml:space="preserve"> substantial investments may produce minimal or unnoticeable effects.  This is due in part to the</w:t>
      </w:r>
      <w:r w:rsidR="005647AB" w:rsidRPr="007C56DF">
        <w:rPr>
          <w:rFonts w:ascii="Times New Roman" w:hAnsi="Times New Roman" w:cs="Times New Roman"/>
        </w:rPr>
        <w:t xml:space="preserve"> </w:t>
      </w:r>
      <w:r w:rsidR="009F5C3F" w:rsidRPr="007C56DF">
        <w:rPr>
          <w:rFonts w:ascii="Times New Roman" w:hAnsi="Times New Roman" w:cs="Times New Roman"/>
        </w:rPr>
        <w:t xml:space="preserve">idealized </w:t>
      </w:r>
      <w:r w:rsidR="009F5C3F" w:rsidRPr="007C56DF">
        <w:rPr>
          <w:rFonts w:ascii="Times New Roman" w:hAnsi="Times New Roman" w:cs="Times New Roman"/>
        </w:rPr>
        <w:lastRenderedPageBreak/>
        <w:t>notion</w:t>
      </w:r>
      <w:r w:rsidR="00FF69DC" w:rsidRPr="007C56DF">
        <w:rPr>
          <w:rFonts w:ascii="Times New Roman" w:hAnsi="Times New Roman" w:cs="Times New Roman"/>
        </w:rPr>
        <w:t xml:space="preserve"> that education systems are </w:t>
      </w:r>
      <w:r w:rsidR="002B3C4A" w:rsidRPr="007C56DF">
        <w:rPr>
          <w:rFonts w:ascii="Times New Roman" w:hAnsi="Times New Roman" w:cs="Times New Roman"/>
        </w:rPr>
        <w:t>highly calibrated networks that are sensitive</w:t>
      </w:r>
      <w:r w:rsidR="00FF69DC" w:rsidRPr="007C56DF">
        <w:rPr>
          <w:rFonts w:ascii="Times New Roman" w:hAnsi="Times New Roman" w:cs="Times New Roman"/>
        </w:rPr>
        <w:t xml:space="preserve"> to</w:t>
      </w:r>
      <w:r w:rsidR="002B3C4A" w:rsidRPr="007C56DF">
        <w:rPr>
          <w:rFonts w:ascii="Times New Roman" w:hAnsi="Times New Roman" w:cs="Times New Roman"/>
        </w:rPr>
        <w:t xml:space="preserve"> specific</w:t>
      </w:r>
      <w:r w:rsidR="00FF69DC" w:rsidRPr="007C56DF">
        <w:rPr>
          <w:rFonts w:ascii="Times New Roman" w:hAnsi="Times New Roman" w:cs="Times New Roman"/>
        </w:rPr>
        <w:t xml:space="preserve"> inputs and outputs from the external environment</w:t>
      </w:r>
      <w:r w:rsidR="00200DA1" w:rsidRPr="007C56DF">
        <w:rPr>
          <w:rFonts w:ascii="Times New Roman" w:hAnsi="Times New Roman" w:cs="Times New Roman"/>
        </w:rPr>
        <w:t xml:space="preserve"> </w:t>
      </w:r>
      <w:r w:rsidR="00200DA1" w:rsidRPr="007C56DF">
        <w:rPr>
          <w:rFonts w:ascii="Times New Roman" w:hAnsi="Times New Roman" w:cs="Times New Roman"/>
        </w:rPr>
        <w:fldChar w:fldCharType="begin"/>
      </w:r>
      <w:r w:rsidR="00200DA1" w:rsidRPr="007C56DF">
        <w:rPr>
          <w:rFonts w:ascii="Times New Roman" w:hAnsi="Times New Roman" w:cs="Times New Roman"/>
        </w:rPr>
        <w:instrText xml:space="preserve"> ADDIN EN.CITE &lt;EndNote&gt;&lt;Cite&gt;&lt;Author&gt;Spillane&lt;/Author&gt;&lt;Year&gt;2009&lt;/Year&gt;&lt;RecNum&gt;47&lt;/RecNum&gt;&lt;DisplayText&gt;(Spillane, 2009)&lt;/DisplayText&gt;&lt;record&gt;&lt;rec-number&gt;47&lt;/rec-number&gt;&lt;foreign-keys&gt;&lt;key app="EN" db-id="2wssdxr0kxzv0fe0et5xetd1pwe2aa25erzt"&gt;47&lt;/key&gt;&lt;/foreign-keys&gt;&lt;ref-type name="Book Section"&gt;5&lt;/ref-type&gt;&lt;contributors&gt;&lt;authors&gt;&lt;author&gt;Spillane, J., Gomez, L. M., &amp;amp; Mesler, L. &lt;/author&gt;&lt;/authors&gt;&lt;secondary-authors&gt;&lt;author&gt;Sykes, G., Schneider, B. &amp;amp; Plank, D. N. with Ford, T. G.&lt;/author&gt;&lt;/secondary-authors&gt;&lt;/contributors&gt;&lt;titles&gt;&lt;title&gt;Notes on reframing the role of organizations in policy implementation:  Resources for Practice, in Practice&lt;/title&gt;&lt;secondary-title&gt;Handbooks of Education Policy Research&lt;/secondary-title&gt;&lt;/titles&gt;&lt;dates&gt;&lt;year&gt;2009&lt;/year&gt;&lt;/dates&gt;&lt;pub-location&gt;New York&lt;/pub-location&gt;&lt;publisher&gt;Routledge&lt;/publisher&gt;&lt;urls&gt;&lt;/urls&gt;&lt;research-notes&gt;Human, Material, Social, and Leadership capital.  The extra system consists of charters, textbook manufacturerrs, assessment companies, consulting firms, technology firms, etc.  Teachers implement what they understand and what they understand is constrained by their existing knowledge and skills.  Practice is constituted in interaction among people.  Microproccess are the vehicles for sensemaking and enactment of environments.  Innovation will occur where practice is located.  The central system (feds) should function as the facilitator of learning not the trainer.  &lt;/research-notes&gt;&lt;/record&gt;&lt;/Cite&gt;&lt;/EndNote&gt;</w:instrText>
      </w:r>
      <w:r w:rsidR="00200DA1" w:rsidRPr="007C56DF">
        <w:rPr>
          <w:rFonts w:ascii="Times New Roman" w:hAnsi="Times New Roman" w:cs="Times New Roman"/>
        </w:rPr>
        <w:fldChar w:fldCharType="separate"/>
      </w:r>
      <w:r w:rsidR="00200DA1" w:rsidRPr="007C56DF">
        <w:rPr>
          <w:rFonts w:ascii="Times New Roman" w:hAnsi="Times New Roman" w:cs="Times New Roman"/>
          <w:noProof/>
        </w:rPr>
        <w:t>(</w:t>
      </w:r>
      <w:hyperlink w:anchor="_ENREF_8" w:tooltip="Spillane, 2009 #47" w:history="1">
        <w:r w:rsidR="00B117A9" w:rsidRPr="007C56DF">
          <w:rPr>
            <w:rFonts w:ascii="Times New Roman" w:hAnsi="Times New Roman" w:cs="Times New Roman"/>
            <w:noProof/>
          </w:rPr>
          <w:t>Spillane, 2009</w:t>
        </w:r>
      </w:hyperlink>
      <w:r w:rsidR="00200DA1" w:rsidRPr="007C56DF">
        <w:rPr>
          <w:rFonts w:ascii="Times New Roman" w:hAnsi="Times New Roman" w:cs="Times New Roman"/>
          <w:noProof/>
        </w:rPr>
        <w:t>)</w:t>
      </w:r>
      <w:r w:rsidR="00200DA1" w:rsidRPr="007C56DF">
        <w:rPr>
          <w:rFonts w:ascii="Times New Roman" w:hAnsi="Times New Roman" w:cs="Times New Roman"/>
        </w:rPr>
        <w:fldChar w:fldCharType="end"/>
      </w:r>
      <w:r w:rsidR="00FF69DC" w:rsidRPr="007C56DF">
        <w:rPr>
          <w:rFonts w:ascii="Times New Roman" w:hAnsi="Times New Roman" w:cs="Times New Roman"/>
        </w:rPr>
        <w:t xml:space="preserve">.  </w:t>
      </w:r>
      <w:r w:rsidR="00A5180A" w:rsidRPr="007C56DF">
        <w:rPr>
          <w:rFonts w:ascii="Times New Roman" w:hAnsi="Times New Roman" w:cs="Times New Roman"/>
        </w:rPr>
        <w:t>Nonlinearity is compounded by the reality that</w:t>
      </w:r>
      <w:r w:rsidR="00FF69DC" w:rsidRPr="007C56DF">
        <w:rPr>
          <w:rFonts w:ascii="Times New Roman" w:hAnsi="Times New Roman" w:cs="Times New Roman"/>
        </w:rPr>
        <w:t xml:space="preserve"> components of the</w:t>
      </w:r>
      <w:r w:rsidR="002B3C4A" w:rsidRPr="007C56DF">
        <w:rPr>
          <w:rFonts w:ascii="Times New Roman" w:hAnsi="Times New Roman" w:cs="Times New Roman"/>
        </w:rPr>
        <w:t xml:space="preserve"> education</w:t>
      </w:r>
      <w:r w:rsidR="00FF69DC" w:rsidRPr="007C56DF">
        <w:rPr>
          <w:rFonts w:ascii="Times New Roman" w:hAnsi="Times New Roman" w:cs="Times New Roman"/>
        </w:rPr>
        <w:t xml:space="preserve"> system, like teacher education, </w:t>
      </w:r>
      <w:r w:rsidR="00200DA1" w:rsidRPr="007C56DF">
        <w:rPr>
          <w:rFonts w:ascii="Times New Roman" w:hAnsi="Times New Roman" w:cs="Times New Roman"/>
        </w:rPr>
        <w:t xml:space="preserve">are </w:t>
      </w:r>
      <w:r w:rsidR="00FF69DC" w:rsidRPr="007C56DF">
        <w:rPr>
          <w:rFonts w:ascii="Times New Roman" w:hAnsi="Times New Roman" w:cs="Times New Roman"/>
        </w:rPr>
        <w:t xml:space="preserve">nested </w:t>
      </w:r>
      <w:r w:rsidR="002B3C4A" w:rsidRPr="007C56DF">
        <w:rPr>
          <w:rFonts w:ascii="Times New Roman" w:hAnsi="Times New Roman" w:cs="Times New Roman"/>
        </w:rPr>
        <w:t>within</w:t>
      </w:r>
      <w:r w:rsidR="001562CE" w:rsidRPr="007C56DF">
        <w:rPr>
          <w:rFonts w:ascii="Times New Roman" w:hAnsi="Times New Roman" w:cs="Times New Roman"/>
        </w:rPr>
        <w:t xml:space="preserve"> and buffeted by</w:t>
      </w:r>
      <w:r w:rsidR="00FF69DC" w:rsidRPr="007C56DF">
        <w:rPr>
          <w:rFonts w:ascii="Times New Roman" w:hAnsi="Times New Roman" w:cs="Times New Roman"/>
        </w:rPr>
        <w:t xml:space="preserve"> two bigger systems, the higher education and P-12 system</w:t>
      </w:r>
      <w:r w:rsidR="00200DA1" w:rsidRPr="007C56DF">
        <w:rPr>
          <w:rFonts w:ascii="Times New Roman" w:hAnsi="Times New Roman" w:cs="Times New Roman"/>
        </w:rPr>
        <w:t>s</w:t>
      </w:r>
      <w:r w:rsidR="00FF69DC" w:rsidRPr="007C56DF">
        <w:rPr>
          <w:rFonts w:ascii="Times New Roman" w:hAnsi="Times New Roman" w:cs="Times New Roman"/>
        </w:rPr>
        <w:t xml:space="preserve">.  </w:t>
      </w:r>
      <w:r w:rsidR="00B95098" w:rsidRPr="007C56DF">
        <w:rPr>
          <w:rFonts w:ascii="Times New Roman" w:hAnsi="Times New Roman" w:cs="Times New Roman"/>
        </w:rPr>
        <w:t>Predictable and sustainable change efforts</w:t>
      </w:r>
      <w:r w:rsidR="009D080F" w:rsidRPr="007C56DF">
        <w:rPr>
          <w:rFonts w:ascii="Times New Roman" w:hAnsi="Times New Roman" w:cs="Times New Roman"/>
        </w:rPr>
        <w:t xml:space="preserve"> in teacher education</w:t>
      </w:r>
      <w:r w:rsidR="00B95098" w:rsidRPr="007C56DF">
        <w:rPr>
          <w:rFonts w:ascii="Times New Roman" w:hAnsi="Times New Roman" w:cs="Times New Roman"/>
        </w:rPr>
        <w:t xml:space="preserve"> must address the contexts in which </w:t>
      </w:r>
      <w:r w:rsidR="002B3C4A" w:rsidRPr="007C56DF">
        <w:rPr>
          <w:rFonts w:ascii="Times New Roman" w:hAnsi="Times New Roman" w:cs="Times New Roman"/>
        </w:rPr>
        <w:t>implementation occurs</w:t>
      </w:r>
      <w:r w:rsidR="00B95098" w:rsidRPr="007C56DF">
        <w:rPr>
          <w:rFonts w:ascii="Times New Roman" w:hAnsi="Times New Roman" w:cs="Times New Roman"/>
        </w:rPr>
        <w:t xml:space="preserve">.  </w:t>
      </w:r>
    </w:p>
    <w:p w14:paraId="6591535E" w14:textId="1AE3E85F" w:rsidR="002B3C4A" w:rsidRPr="007C56DF" w:rsidRDefault="00435FD2" w:rsidP="007C56DF">
      <w:pPr>
        <w:rPr>
          <w:rFonts w:ascii="Times New Roman" w:hAnsi="Times New Roman" w:cs="Times New Roman"/>
        </w:rPr>
      </w:pPr>
      <w:r w:rsidRPr="007C56DF">
        <w:rPr>
          <w:rFonts w:ascii="Times New Roman" w:hAnsi="Times New Roman" w:cs="Times New Roman"/>
          <w:b/>
        </w:rPr>
        <w:t>Interconnected</w:t>
      </w:r>
      <w:r w:rsidR="000C06FA" w:rsidRPr="007C56DF">
        <w:rPr>
          <w:rFonts w:ascii="Times New Roman" w:hAnsi="Times New Roman" w:cs="Times New Roman"/>
          <w:b/>
        </w:rPr>
        <w:t xml:space="preserve"> Teacher Education</w:t>
      </w:r>
      <w:r w:rsidRPr="007C56DF">
        <w:rPr>
          <w:rFonts w:ascii="Times New Roman" w:hAnsi="Times New Roman" w:cs="Times New Roman"/>
          <w:b/>
        </w:rPr>
        <w:t xml:space="preserve"> Systems</w:t>
      </w:r>
      <w:r w:rsidR="00FF69DC" w:rsidRPr="007C56DF">
        <w:rPr>
          <w:rFonts w:ascii="Times New Roman" w:hAnsi="Times New Roman" w:cs="Times New Roman"/>
        </w:rPr>
        <w:t>.</w:t>
      </w:r>
      <w:r w:rsidR="005F7B3C" w:rsidRPr="007C56DF">
        <w:rPr>
          <w:rFonts w:ascii="Times New Roman" w:hAnsi="Times New Roman" w:cs="Times New Roman"/>
        </w:rPr>
        <w:t xml:space="preserve">  In this paper, we conceptualize teacher education</w:t>
      </w:r>
      <w:r w:rsidR="005438F3" w:rsidRPr="007C56DF">
        <w:rPr>
          <w:rFonts w:ascii="Times New Roman" w:hAnsi="Times New Roman" w:cs="Times New Roman"/>
        </w:rPr>
        <w:t xml:space="preserve"> systems as interconnected activity arenas that traverse micro</w:t>
      </w:r>
      <w:r w:rsidR="00B95098" w:rsidRPr="007C56DF">
        <w:rPr>
          <w:rFonts w:ascii="Times New Roman" w:hAnsi="Times New Roman" w:cs="Times New Roman"/>
        </w:rPr>
        <w:t>, meso</w:t>
      </w:r>
      <w:r w:rsidR="00BB09CC" w:rsidRPr="007C56DF">
        <w:rPr>
          <w:rFonts w:ascii="Times New Roman" w:hAnsi="Times New Roman" w:cs="Times New Roman"/>
        </w:rPr>
        <w:t>,</w:t>
      </w:r>
      <w:r w:rsidR="005438F3" w:rsidRPr="007C56DF">
        <w:rPr>
          <w:rFonts w:ascii="Times New Roman" w:hAnsi="Times New Roman" w:cs="Times New Roman"/>
        </w:rPr>
        <w:t xml:space="preserve"> and macro scales </w:t>
      </w:r>
      <w:r w:rsidR="001F73E9" w:rsidRPr="007C56DF">
        <w:rPr>
          <w:rFonts w:ascii="Times New Roman" w:hAnsi="Times New Roman" w:cs="Times New Roman"/>
        </w:rPr>
        <w:fldChar w:fldCharType="begin"/>
      </w:r>
      <w:r w:rsidR="00B117A9" w:rsidRPr="007C56DF">
        <w:rPr>
          <w:rFonts w:ascii="Times New Roman" w:hAnsi="Times New Roman" w:cs="Times New Roman"/>
        </w:rPr>
        <w:instrText xml:space="preserve"> ADDIN EN.CITE &lt;EndNote&gt;&lt;Cite&gt;&lt;Author&gt;Kozleski&lt;/Author&gt;&lt;Year&gt;2012&lt;/Year&gt;&lt;RecNum&gt;30&lt;/RecNum&gt;&lt;DisplayText&gt;(Kozleski, 2012)&lt;/DisplayText&gt;&lt;record&gt;&lt;rec-number&gt;30&lt;/rec-number&gt;&lt;foreign-keys&gt;&lt;key app="EN" db-id="2wssdxr0kxzv0fe0et5xetd1pwe2aa25erzt"&gt;30&lt;/key&gt;&lt;/foreign-keys&gt;&lt;ref-type name="Book Section"&gt;5&lt;/ref-type&gt;&lt;contributors&gt;&lt;authors&gt;&lt;author&gt;Kozleski, E. B., Gibson, D., &amp;amp; Hynds, A.&lt;/author&gt;&lt;/authors&gt;&lt;secondary-authors&gt;&lt;author&gt;C. Gersti-Pepin &amp;amp; J. Aiken&lt;/author&gt;&lt;/secondary-authors&gt;&lt;/contributors&gt;&lt;titles&gt;&lt;title&gt;Transforming comoplex educational systems: Grounding systems issues in equity and social justice&lt;/title&gt;&lt;secondary-title&gt;Defining social justice leadership in global context&lt;/secondary-title&gt;&lt;/titles&gt;&lt;pages&gt;pp. 263-286&lt;/pages&gt;&lt;section&gt;14&lt;/section&gt;&lt;dates&gt;&lt;year&gt;2012&lt;/year&gt;&lt;/dates&gt;&lt;pub-location&gt;Charlotte, NC&lt;/pub-location&gt;&lt;publisher&gt;Information Age Publishing&lt;/publisher&gt;&lt;urls&gt;&lt;/urls&gt;&lt;/record&gt;&lt;/Cite&gt;&lt;/EndNote&gt;</w:instrText>
      </w:r>
      <w:r w:rsidR="001F73E9" w:rsidRPr="007C56DF">
        <w:rPr>
          <w:rFonts w:ascii="Times New Roman" w:hAnsi="Times New Roman" w:cs="Times New Roman"/>
        </w:rPr>
        <w:fldChar w:fldCharType="separate"/>
      </w:r>
      <w:r w:rsidR="00892CBA" w:rsidRPr="007C56DF">
        <w:rPr>
          <w:rFonts w:ascii="Times New Roman" w:hAnsi="Times New Roman" w:cs="Times New Roman"/>
          <w:noProof/>
        </w:rPr>
        <w:t>(</w:t>
      </w:r>
      <w:hyperlink w:anchor="_ENREF_6" w:tooltip="Kozleski, 2012 #30" w:history="1">
        <w:r w:rsidR="00B117A9" w:rsidRPr="007C56DF">
          <w:rPr>
            <w:rFonts w:ascii="Times New Roman" w:hAnsi="Times New Roman" w:cs="Times New Roman"/>
            <w:noProof/>
          </w:rPr>
          <w:t>Kozleski, 2012</w:t>
        </w:r>
      </w:hyperlink>
      <w:r w:rsidR="00892CBA" w:rsidRPr="007C56DF">
        <w:rPr>
          <w:rFonts w:ascii="Times New Roman" w:hAnsi="Times New Roman" w:cs="Times New Roman"/>
          <w:noProof/>
        </w:rPr>
        <w:t>)</w:t>
      </w:r>
      <w:r w:rsidR="001F73E9" w:rsidRPr="007C56DF">
        <w:rPr>
          <w:rFonts w:ascii="Times New Roman" w:hAnsi="Times New Roman" w:cs="Times New Roman"/>
        </w:rPr>
        <w:fldChar w:fldCharType="end"/>
      </w:r>
      <w:r w:rsidR="005438F3" w:rsidRPr="007C56DF">
        <w:rPr>
          <w:rFonts w:ascii="Times New Roman" w:hAnsi="Times New Roman" w:cs="Times New Roman"/>
        </w:rPr>
        <w:t xml:space="preserve">. </w:t>
      </w:r>
      <w:r w:rsidR="00B95098" w:rsidRPr="007C56DF">
        <w:rPr>
          <w:rFonts w:ascii="Times New Roman" w:hAnsi="Times New Roman" w:cs="Times New Roman"/>
        </w:rPr>
        <w:t xml:space="preserve"> For example</w:t>
      </w:r>
      <w:r w:rsidR="005438F3" w:rsidRPr="007C56DF">
        <w:rPr>
          <w:rFonts w:ascii="Times New Roman" w:hAnsi="Times New Roman" w:cs="Times New Roman"/>
        </w:rPr>
        <w:t xml:space="preserve">, </w:t>
      </w:r>
      <w:r w:rsidR="005F7B3C" w:rsidRPr="007C56DF">
        <w:rPr>
          <w:rFonts w:ascii="Times New Roman" w:hAnsi="Times New Roman" w:cs="Times New Roman"/>
        </w:rPr>
        <w:t>teacher education programs for special and general educators, separate or combined, interact with each other through their students,</w:t>
      </w:r>
      <w:r w:rsidR="00B95098" w:rsidRPr="007C56DF">
        <w:rPr>
          <w:rFonts w:ascii="Times New Roman" w:hAnsi="Times New Roman" w:cs="Times New Roman"/>
        </w:rPr>
        <w:t xml:space="preserve"> their coursework, internal curriculum committees,</w:t>
      </w:r>
      <w:r w:rsidR="005F7B3C" w:rsidRPr="007C56DF">
        <w:rPr>
          <w:rFonts w:ascii="Times New Roman" w:hAnsi="Times New Roman" w:cs="Times New Roman"/>
        </w:rPr>
        <w:t xml:space="preserve"> the local school communities that provide practice settings, and through the processes of professional recognition within the university context such as tenure and promotion</w:t>
      </w:r>
      <w:r w:rsidR="005438F3" w:rsidRPr="007C56DF">
        <w:rPr>
          <w:rFonts w:ascii="Times New Roman" w:hAnsi="Times New Roman" w:cs="Times New Roman"/>
        </w:rPr>
        <w:t xml:space="preserve">.  </w:t>
      </w:r>
      <w:r w:rsidR="003A310A" w:rsidRPr="007C56DF">
        <w:rPr>
          <w:rFonts w:ascii="Times New Roman" w:hAnsi="Times New Roman" w:cs="Times New Roman"/>
        </w:rPr>
        <w:t xml:space="preserve">Each </w:t>
      </w:r>
      <w:r w:rsidR="002B3C4A" w:rsidRPr="007C56DF">
        <w:rPr>
          <w:rFonts w:ascii="Times New Roman" w:hAnsi="Times New Roman" w:cs="Times New Roman"/>
        </w:rPr>
        <w:t>teacher education program</w:t>
      </w:r>
      <w:r w:rsidR="003A310A" w:rsidRPr="007C56DF">
        <w:rPr>
          <w:rFonts w:ascii="Times New Roman" w:hAnsi="Times New Roman" w:cs="Times New Roman"/>
        </w:rPr>
        <w:t>, by itself, might be considered a system.  Together, they comprise compl</w:t>
      </w:r>
      <w:r w:rsidR="00AA4F42" w:rsidRPr="007C56DF">
        <w:rPr>
          <w:rFonts w:ascii="Times New Roman" w:hAnsi="Times New Roman" w:cs="Times New Roman"/>
        </w:rPr>
        <w:t>e</w:t>
      </w:r>
      <w:r w:rsidR="003A310A" w:rsidRPr="007C56DF">
        <w:rPr>
          <w:rFonts w:ascii="Times New Roman" w:hAnsi="Times New Roman" w:cs="Times New Roman"/>
        </w:rPr>
        <w:t>mentary systems</w:t>
      </w:r>
      <w:r w:rsidR="002B3C4A" w:rsidRPr="007C56DF">
        <w:rPr>
          <w:rFonts w:ascii="Times New Roman" w:hAnsi="Times New Roman" w:cs="Times New Roman"/>
        </w:rPr>
        <w:t xml:space="preserve"> that respond to the internal needs of the organization in which they are nested and to the external pressures of state licensing agencies, professional standards groups, the national discourse, the scholarly community, and funding streams</w:t>
      </w:r>
      <w:r w:rsidR="003A310A" w:rsidRPr="007C56DF">
        <w:rPr>
          <w:rFonts w:ascii="Times New Roman" w:hAnsi="Times New Roman" w:cs="Times New Roman"/>
        </w:rPr>
        <w:t xml:space="preserve">.  </w:t>
      </w:r>
    </w:p>
    <w:p w14:paraId="29957709" w14:textId="4CDCC78E" w:rsidR="003A310A" w:rsidRPr="007C56DF" w:rsidRDefault="002B3C4A" w:rsidP="007C56DF">
      <w:pPr>
        <w:rPr>
          <w:rFonts w:ascii="Times New Roman" w:hAnsi="Times New Roman" w:cs="Times New Roman"/>
        </w:rPr>
      </w:pPr>
      <w:r w:rsidRPr="007C56DF">
        <w:rPr>
          <w:rFonts w:ascii="Times New Roman" w:hAnsi="Times New Roman" w:cs="Times New Roman"/>
        </w:rPr>
        <w:t>Like many systems, teacher education s</w:t>
      </w:r>
      <w:r w:rsidR="003A310A" w:rsidRPr="007C56DF">
        <w:rPr>
          <w:rFonts w:ascii="Times New Roman" w:hAnsi="Times New Roman" w:cs="Times New Roman"/>
        </w:rPr>
        <w:t xml:space="preserve">ystems are associated with more than one system.  An elementary school </w:t>
      </w:r>
      <w:r w:rsidR="00D72D8D" w:rsidRPr="007C56DF">
        <w:rPr>
          <w:rFonts w:ascii="Times New Roman" w:hAnsi="Times New Roman" w:cs="Times New Roman"/>
        </w:rPr>
        <w:t>may be</w:t>
      </w:r>
      <w:r w:rsidR="003A310A" w:rsidRPr="007C56DF">
        <w:rPr>
          <w:rFonts w:ascii="Times New Roman" w:hAnsi="Times New Roman" w:cs="Times New Roman"/>
        </w:rPr>
        <w:t xml:space="preserve"> both a system and a member of </w:t>
      </w:r>
      <w:r w:rsidR="00D72D8D" w:rsidRPr="007C56DF">
        <w:rPr>
          <w:rFonts w:ascii="Times New Roman" w:hAnsi="Times New Roman" w:cs="Times New Roman"/>
        </w:rPr>
        <w:t>another</w:t>
      </w:r>
      <w:r w:rsidR="003A310A" w:rsidRPr="007C56DF">
        <w:rPr>
          <w:rFonts w:ascii="Times New Roman" w:hAnsi="Times New Roman" w:cs="Times New Roman"/>
        </w:rPr>
        <w:t xml:space="preserve"> system called a school </w:t>
      </w:r>
      <w:r w:rsidR="00D72D8D" w:rsidRPr="007C56DF">
        <w:rPr>
          <w:rFonts w:ascii="Times New Roman" w:hAnsi="Times New Roman" w:cs="Times New Roman"/>
        </w:rPr>
        <w:t>district or local education agency</w:t>
      </w:r>
      <w:r w:rsidR="003A310A" w:rsidRPr="007C56DF">
        <w:rPr>
          <w:rFonts w:ascii="Times New Roman" w:hAnsi="Times New Roman" w:cs="Times New Roman"/>
        </w:rPr>
        <w:t>.  It may also be part of a teacher education system</w:t>
      </w:r>
      <w:r w:rsidR="009F4F4F" w:rsidRPr="007C56DF">
        <w:rPr>
          <w:rFonts w:ascii="Times New Roman" w:hAnsi="Times New Roman" w:cs="Times New Roman"/>
        </w:rPr>
        <w:t xml:space="preserve"> since preservice teachers may be mentored and coached to practice teach in that setting</w:t>
      </w:r>
      <w:r w:rsidR="003A310A" w:rsidRPr="007C56DF">
        <w:rPr>
          <w:rFonts w:ascii="Times New Roman" w:hAnsi="Times New Roman" w:cs="Times New Roman"/>
        </w:rPr>
        <w:t xml:space="preserve">.  </w:t>
      </w:r>
      <w:r w:rsidR="009F4F4F" w:rsidRPr="007C56DF">
        <w:rPr>
          <w:rFonts w:ascii="Times New Roman" w:hAnsi="Times New Roman" w:cs="Times New Roman"/>
        </w:rPr>
        <w:t>The s</w:t>
      </w:r>
      <w:r w:rsidR="003A310A" w:rsidRPr="007C56DF">
        <w:rPr>
          <w:rFonts w:ascii="Times New Roman" w:hAnsi="Times New Roman" w:cs="Times New Roman"/>
        </w:rPr>
        <w:t xml:space="preserve">ystems are interconnected.  A new activity introduced in one system </w:t>
      </w:r>
      <w:r w:rsidR="009F4F4F" w:rsidRPr="007C56DF">
        <w:rPr>
          <w:rFonts w:ascii="Times New Roman" w:hAnsi="Times New Roman" w:cs="Times New Roman"/>
        </w:rPr>
        <w:t>such a</w:t>
      </w:r>
      <w:r w:rsidR="003A310A" w:rsidRPr="007C56DF">
        <w:rPr>
          <w:rFonts w:ascii="Times New Roman" w:hAnsi="Times New Roman" w:cs="Times New Roman"/>
        </w:rPr>
        <w:t>s</w:t>
      </w:r>
      <w:r w:rsidR="009F4F4F" w:rsidRPr="007C56DF">
        <w:rPr>
          <w:rFonts w:ascii="Times New Roman" w:hAnsi="Times New Roman" w:cs="Times New Roman"/>
        </w:rPr>
        <w:t xml:space="preserve"> particular approach to teaching reading is</w:t>
      </w:r>
      <w:r w:rsidR="003A310A" w:rsidRPr="007C56DF">
        <w:rPr>
          <w:rFonts w:ascii="Times New Roman" w:hAnsi="Times New Roman" w:cs="Times New Roman"/>
        </w:rPr>
        <w:t xml:space="preserve"> likely to influence </w:t>
      </w:r>
      <w:r w:rsidR="009F4F4F" w:rsidRPr="007C56DF">
        <w:rPr>
          <w:rFonts w:ascii="Times New Roman" w:hAnsi="Times New Roman" w:cs="Times New Roman"/>
        </w:rPr>
        <w:t xml:space="preserve">the other systems as well, crossing the boundaries between the systems and, in the process, the activity is reinterpreted, assessed, and may be appropriated.  </w:t>
      </w:r>
      <w:r w:rsidR="009F4F4F" w:rsidRPr="007C56DF">
        <w:rPr>
          <w:rFonts w:ascii="Times New Roman" w:hAnsi="Times New Roman" w:cs="Times New Roman"/>
        </w:rPr>
        <w:lastRenderedPageBreak/>
        <w:t xml:space="preserve">This </w:t>
      </w:r>
      <w:r w:rsidR="00D72D8D" w:rsidRPr="007C56DF">
        <w:rPr>
          <w:rFonts w:ascii="Times New Roman" w:hAnsi="Times New Roman" w:cs="Times New Roman"/>
        </w:rPr>
        <w:t xml:space="preserve">appropriation </w:t>
      </w:r>
      <w:r w:rsidR="009F4F4F" w:rsidRPr="007C56DF">
        <w:rPr>
          <w:rFonts w:ascii="Times New Roman" w:hAnsi="Times New Roman" w:cs="Times New Roman"/>
        </w:rPr>
        <w:t xml:space="preserve">process is often not attended to when policy innovations are designed.  </w:t>
      </w:r>
      <w:r w:rsidR="003A310A" w:rsidRPr="007C56DF">
        <w:rPr>
          <w:rFonts w:ascii="Times New Roman" w:hAnsi="Times New Roman" w:cs="Times New Roman"/>
        </w:rPr>
        <w:t xml:space="preserve">The new Common Core, designed to increase the likelihood that students across the United States will have expanded opportunities to access the best and most current knowledge in an array of disciplines, </w:t>
      </w:r>
      <w:r w:rsidR="00D72D8D" w:rsidRPr="007C56DF">
        <w:rPr>
          <w:rFonts w:ascii="Times New Roman" w:hAnsi="Times New Roman" w:cs="Times New Roman"/>
        </w:rPr>
        <w:t>is another example how changes intended to impact outcomes in one system</w:t>
      </w:r>
      <w:r w:rsidR="003A310A" w:rsidRPr="007C56DF">
        <w:rPr>
          <w:rFonts w:ascii="Times New Roman" w:hAnsi="Times New Roman" w:cs="Times New Roman"/>
        </w:rPr>
        <w:t xml:space="preserve"> will change</w:t>
      </w:r>
      <w:r w:rsidR="00D72D8D" w:rsidRPr="007C56DF">
        <w:rPr>
          <w:rFonts w:ascii="Times New Roman" w:hAnsi="Times New Roman" w:cs="Times New Roman"/>
        </w:rPr>
        <w:t xml:space="preserve"> another</w:t>
      </w:r>
      <w:r w:rsidR="004F75C2" w:rsidRPr="007C56DF">
        <w:rPr>
          <w:rFonts w:ascii="Times New Roman" w:hAnsi="Times New Roman" w:cs="Times New Roman"/>
        </w:rPr>
        <w:t>, such as teacher education</w:t>
      </w:r>
      <w:r w:rsidR="00D72D8D" w:rsidRPr="007C56DF">
        <w:rPr>
          <w:rFonts w:ascii="Times New Roman" w:hAnsi="Times New Roman" w:cs="Times New Roman"/>
        </w:rPr>
        <w:t xml:space="preserve">.  </w:t>
      </w:r>
    </w:p>
    <w:p w14:paraId="58B89E3A" w14:textId="574DB30C" w:rsidR="000E3041" w:rsidRPr="007C56DF" w:rsidRDefault="005F7B3C" w:rsidP="007C56DF">
      <w:pPr>
        <w:rPr>
          <w:rFonts w:ascii="Times New Roman" w:hAnsi="Times New Roman" w:cs="Times New Roman"/>
        </w:rPr>
      </w:pPr>
      <w:r w:rsidRPr="007C56DF">
        <w:rPr>
          <w:rFonts w:ascii="Times New Roman" w:hAnsi="Times New Roman" w:cs="Times New Roman"/>
        </w:rPr>
        <w:t xml:space="preserve">A single teacher education program within a particular university or college setting is </w:t>
      </w:r>
      <w:r w:rsidR="00611AAD" w:rsidRPr="007C56DF">
        <w:rPr>
          <w:rFonts w:ascii="Times New Roman" w:hAnsi="Times New Roman" w:cs="Times New Roman"/>
        </w:rPr>
        <w:t>specific</w:t>
      </w:r>
      <w:r w:rsidRPr="007C56DF">
        <w:rPr>
          <w:rFonts w:ascii="Times New Roman" w:hAnsi="Times New Roman" w:cs="Times New Roman"/>
        </w:rPr>
        <w:t xml:space="preserve"> to that context.  </w:t>
      </w:r>
      <w:r w:rsidR="001F73E9" w:rsidRPr="007C56DF">
        <w:rPr>
          <w:rFonts w:ascii="Times New Roman" w:hAnsi="Times New Roman" w:cs="Times New Roman"/>
        </w:rPr>
        <w:t xml:space="preserve">For instance, the roles that teacher educators play are different in research universities with very high research activity as opposed to the kinds of </w:t>
      </w:r>
      <w:r w:rsidR="00424680" w:rsidRPr="007C56DF">
        <w:rPr>
          <w:rFonts w:ascii="Times New Roman" w:hAnsi="Times New Roman" w:cs="Times New Roman"/>
        </w:rPr>
        <w:t>workloads</w:t>
      </w:r>
      <w:r w:rsidR="001F73E9" w:rsidRPr="007C56DF">
        <w:rPr>
          <w:rFonts w:ascii="Times New Roman" w:hAnsi="Times New Roman" w:cs="Times New Roman"/>
        </w:rPr>
        <w:t xml:space="preserve"> and roles that teacher educators may play in Master’s colleges and universities where doctoral education </w:t>
      </w:r>
      <w:r w:rsidR="00424680" w:rsidRPr="007C56DF">
        <w:rPr>
          <w:rFonts w:ascii="Times New Roman" w:hAnsi="Times New Roman" w:cs="Times New Roman"/>
        </w:rPr>
        <w:t>plays a smaller</w:t>
      </w:r>
      <w:r w:rsidR="001F73E9" w:rsidRPr="007C56DF">
        <w:rPr>
          <w:rFonts w:ascii="Times New Roman" w:hAnsi="Times New Roman" w:cs="Times New Roman"/>
        </w:rPr>
        <w:t xml:space="preserve"> role.   </w:t>
      </w:r>
      <w:r w:rsidR="00424680" w:rsidRPr="007C56DF">
        <w:rPr>
          <w:rFonts w:ascii="Times New Roman" w:hAnsi="Times New Roman" w:cs="Times New Roman"/>
        </w:rPr>
        <w:t xml:space="preserve">In the first case, tenure </w:t>
      </w:r>
      <w:r w:rsidR="00CF7753" w:rsidRPr="007C56DF">
        <w:rPr>
          <w:rFonts w:ascii="Times New Roman" w:hAnsi="Times New Roman" w:cs="Times New Roman"/>
        </w:rPr>
        <w:t>eligible</w:t>
      </w:r>
      <w:r w:rsidR="00424680" w:rsidRPr="007C56DF">
        <w:rPr>
          <w:rFonts w:ascii="Times New Roman" w:hAnsi="Times New Roman" w:cs="Times New Roman"/>
        </w:rPr>
        <w:t xml:space="preserve"> teacher educators carry </w:t>
      </w:r>
      <w:r w:rsidR="000E3041" w:rsidRPr="007C56DF">
        <w:rPr>
          <w:rFonts w:ascii="Times New Roman" w:hAnsi="Times New Roman" w:cs="Times New Roman"/>
        </w:rPr>
        <w:t xml:space="preserve">high </w:t>
      </w:r>
      <w:r w:rsidR="00424680" w:rsidRPr="007C56DF">
        <w:rPr>
          <w:rFonts w:ascii="Times New Roman" w:hAnsi="Times New Roman" w:cs="Times New Roman"/>
        </w:rPr>
        <w:t xml:space="preserve">expectations for research and, their teaching loads are smaller than those of their colleagues in other kinds of institutions. </w:t>
      </w:r>
      <w:r w:rsidR="00102BAC" w:rsidRPr="007C56DF">
        <w:rPr>
          <w:rFonts w:ascii="Times New Roman" w:hAnsi="Times New Roman" w:cs="Times New Roman"/>
        </w:rPr>
        <w:t xml:space="preserve"> Tenure</w:t>
      </w:r>
      <w:r w:rsidR="00CF7753" w:rsidRPr="007C56DF">
        <w:rPr>
          <w:rFonts w:ascii="Times New Roman" w:hAnsi="Times New Roman" w:cs="Times New Roman"/>
        </w:rPr>
        <w:t>d</w:t>
      </w:r>
      <w:r w:rsidR="00102BAC" w:rsidRPr="007C56DF">
        <w:rPr>
          <w:rFonts w:ascii="Times New Roman" w:hAnsi="Times New Roman" w:cs="Times New Roman"/>
        </w:rPr>
        <w:t xml:space="preserve"> faculty may</w:t>
      </w:r>
      <w:r w:rsidR="00CF7753" w:rsidRPr="007C56DF">
        <w:rPr>
          <w:rFonts w:ascii="Times New Roman" w:hAnsi="Times New Roman" w:cs="Times New Roman"/>
        </w:rPr>
        <w:t xml:space="preserve"> only</w:t>
      </w:r>
      <w:r w:rsidR="00102BAC" w:rsidRPr="007C56DF">
        <w:rPr>
          <w:rFonts w:ascii="Times New Roman" w:hAnsi="Times New Roman" w:cs="Times New Roman"/>
        </w:rPr>
        <w:t xml:space="preserve"> teach a single course in a preparation program.  </w:t>
      </w:r>
      <w:r w:rsidR="00611AAD" w:rsidRPr="007C56DF">
        <w:rPr>
          <w:rFonts w:ascii="Times New Roman" w:hAnsi="Times New Roman" w:cs="Times New Roman"/>
        </w:rPr>
        <w:t xml:space="preserve">Shared intellectual </w:t>
      </w:r>
      <w:r w:rsidR="00A5180A" w:rsidRPr="007C56DF">
        <w:rPr>
          <w:rFonts w:ascii="Times New Roman" w:hAnsi="Times New Roman" w:cs="Times New Roman"/>
        </w:rPr>
        <w:t xml:space="preserve">commitments to </w:t>
      </w:r>
      <w:r w:rsidR="00611AAD" w:rsidRPr="007C56DF">
        <w:rPr>
          <w:rFonts w:ascii="Times New Roman" w:hAnsi="Times New Roman" w:cs="Times New Roman"/>
        </w:rPr>
        <w:t xml:space="preserve">teacher education are balanced by </w:t>
      </w:r>
      <w:r w:rsidR="00CF7753" w:rsidRPr="007C56DF">
        <w:rPr>
          <w:rFonts w:ascii="Times New Roman" w:hAnsi="Times New Roman" w:cs="Times New Roman"/>
        </w:rPr>
        <w:t>investments of time and effort in the design and development of lines of research that may have little to do with</w:t>
      </w:r>
      <w:r w:rsidR="000E3041" w:rsidRPr="007C56DF">
        <w:rPr>
          <w:rFonts w:ascii="Times New Roman" w:hAnsi="Times New Roman" w:cs="Times New Roman"/>
        </w:rPr>
        <w:t xml:space="preserve"> research on or about</w:t>
      </w:r>
      <w:r w:rsidR="00CF7753" w:rsidRPr="007C56DF">
        <w:rPr>
          <w:rFonts w:ascii="Times New Roman" w:hAnsi="Times New Roman" w:cs="Times New Roman"/>
        </w:rPr>
        <w:t xml:space="preserve"> teacher education.  In these contexts, it is predictable that many tenured scholars rarely teach in teacher education programs.  Their research interests are</w:t>
      </w:r>
      <w:r w:rsidR="00F26D40" w:rsidRPr="007C56DF">
        <w:rPr>
          <w:rFonts w:ascii="Times New Roman" w:hAnsi="Times New Roman" w:cs="Times New Roman"/>
        </w:rPr>
        <w:t xml:space="preserve"> often</w:t>
      </w:r>
      <w:r w:rsidR="00CF7753" w:rsidRPr="007C56DF">
        <w:rPr>
          <w:rFonts w:ascii="Times New Roman" w:hAnsi="Times New Roman" w:cs="Times New Roman"/>
        </w:rPr>
        <w:t xml:space="preserve"> far from </w:t>
      </w:r>
      <w:r w:rsidR="004F75C2" w:rsidRPr="007C56DF">
        <w:rPr>
          <w:rFonts w:ascii="Times New Roman" w:hAnsi="Times New Roman" w:cs="Times New Roman"/>
        </w:rPr>
        <w:t>the reality of life in the</w:t>
      </w:r>
      <w:r w:rsidR="00CF7753" w:rsidRPr="007C56DF">
        <w:rPr>
          <w:rFonts w:ascii="Times New Roman" w:hAnsi="Times New Roman" w:cs="Times New Roman"/>
        </w:rPr>
        <w:t xml:space="preserve"> classroom.  </w:t>
      </w:r>
    </w:p>
    <w:p w14:paraId="602CD0CB" w14:textId="5ADAB0CB" w:rsidR="00424680" w:rsidRPr="007C56DF" w:rsidRDefault="00102BAC" w:rsidP="007C56DF">
      <w:pPr>
        <w:rPr>
          <w:rFonts w:ascii="Times New Roman" w:hAnsi="Times New Roman" w:cs="Times New Roman"/>
        </w:rPr>
      </w:pPr>
      <w:r w:rsidRPr="007C56DF">
        <w:rPr>
          <w:rFonts w:ascii="Times New Roman" w:hAnsi="Times New Roman" w:cs="Times New Roman"/>
        </w:rPr>
        <w:t xml:space="preserve">In university settings where teacher education is the primary focus of the faculty, faculty may teach four or five courses each semester or nine courses over the academic year in a quarter system.  Intensive teaching builds a different kind of culture than an intensive research environment.  </w:t>
      </w:r>
      <w:r w:rsidR="00CF7753" w:rsidRPr="007C56DF">
        <w:rPr>
          <w:rFonts w:ascii="Times New Roman" w:hAnsi="Times New Roman" w:cs="Times New Roman"/>
        </w:rPr>
        <w:t xml:space="preserve">Professional communities </w:t>
      </w:r>
      <w:r w:rsidR="0054277A" w:rsidRPr="007C56DF">
        <w:rPr>
          <w:rFonts w:ascii="Times New Roman" w:hAnsi="Times New Roman" w:cs="Times New Roman"/>
        </w:rPr>
        <w:t>emerge</w:t>
      </w:r>
      <w:r w:rsidR="00CF7753" w:rsidRPr="007C56DF">
        <w:rPr>
          <w:rFonts w:ascii="Times New Roman" w:hAnsi="Times New Roman" w:cs="Times New Roman"/>
        </w:rPr>
        <w:t xml:space="preserve"> around the daily practice of teacher education.</w:t>
      </w:r>
      <w:r w:rsidR="00424680" w:rsidRPr="007C56DF">
        <w:rPr>
          <w:rFonts w:ascii="Times New Roman" w:hAnsi="Times New Roman" w:cs="Times New Roman"/>
        </w:rPr>
        <w:t xml:space="preserve">  </w:t>
      </w:r>
      <w:r w:rsidR="005F7B3C" w:rsidRPr="007C56DF">
        <w:rPr>
          <w:rFonts w:ascii="Times New Roman" w:hAnsi="Times New Roman" w:cs="Times New Roman"/>
        </w:rPr>
        <w:t>While the state regulatory agency accredits</w:t>
      </w:r>
      <w:r w:rsidR="00424680" w:rsidRPr="007C56DF">
        <w:rPr>
          <w:rFonts w:ascii="Times New Roman" w:hAnsi="Times New Roman" w:cs="Times New Roman"/>
        </w:rPr>
        <w:t xml:space="preserve"> all</w:t>
      </w:r>
      <w:r w:rsidR="005F7B3C" w:rsidRPr="007C56DF">
        <w:rPr>
          <w:rFonts w:ascii="Times New Roman" w:hAnsi="Times New Roman" w:cs="Times New Roman"/>
        </w:rPr>
        <w:t xml:space="preserve"> </w:t>
      </w:r>
      <w:r w:rsidR="00CF7753" w:rsidRPr="007C56DF">
        <w:rPr>
          <w:rFonts w:ascii="Times New Roman" w:hAnsi="Times New Roman" w:cs="Times New Roman"/>
        </w:rPr>
        <w:t xml:space="preserve">eligible </w:t>
      </w:r>
      <w:r w:rsidR="005F7B3C" w:rsidRPr="007C56DF">
        <w:rPr>
          <w:rFonts w:ascii="Times New Roman" w:hAnsi="Times New Roman" w:cs="Times New Roman"/>
        </w:rPr>
        <w:t>program</w:t>
      </w:r>
      <w:r w:rsidR="00424680" w:rsidRPr="007C56DF">
        <w:rPr>
          <w:rFonts w:ascii="Times New Roman" w:hAnsi="Times New Roman" w:cs="Times New Roman"/>
        </w:rPr>
        <w:t>s</w:t>
      </w:r>
      <w:r w:rsidR="005F7B3C" w:rsidRPr="007C56DF">
        <w:rPr>
          <w:rFonts w:ascii="Times New Roman" w:hAnsi="Times New Roman" w:cs="Times New Roman"/>
        </w:rPr>
        <w:t>,</w:t>
      </w:r>
      <w:r w:rsidR="00424680" w:rsidRPr="007C56DF">
        <w:rPr>
          <w:rFonts w:ascii="Times New Roman" w:hAnsi="Times New Roman" w:cs="Times New Roman"/>
        </w:rPr>
        <w:t xml:space="preserve"> </w:t>
      </w:r>
      <w:r w:rsidR="00CF7753" w:rsidRPr="007C56DF">
        <w:rPr>
          <w:rFonts w:ascii="Times New Roman" w:hAnsi="Times New Roman" w:cs="Times New Roman"/>
        </w:rPr>
        <w:t xml:space="preserve">the programs have distinct flavors and often offer very different teacher education experiences.  </w:t>
      </w:r>
      <w:r w:rsidR="003A310A" w:rsidRPr="007C56DF">
        <w:rPr>
          <w:rFonts w:ascii="Times New Roman" w:hAnsi="Times New Roman" w:cs="Times New Roman"/>
        </w:rPr>
        <w:t xml:space="preserve">Policy initiatives designed to </w:t>
      </w:r>
      <w:r w:rsidR="003A310A" w:rsidRPr="007C56DF">
        <w:rPr>
          <w:rFonts w:ascii="Times New Roman" w:hAnsi="Times New Roman" w:cs="Times New Roman"/>
        </w:rPr>
        <w:lastRenderedPageBreak/>
        <w:t>change multiple systems of teacher education may gain more traction in one system than in another.  The variability in policy influence is due</w:t>
      </w:r>
      <w:r w:rsidR="000E3041" w:rsidRPr="007C56DF">
        <w:rPr>
          <w:rFonts w:ascii="Times New Roman" w:hAnsi="Times New Roman" w:cs="Times New Roman"/>
        </w:rPr>
        <w:t xml:space="preserve"> in part</w:t>
      </w:r>
      <w:r w:rsidR="003A310A" w:rsidRPr="007C56DF">
        <w:rPr>
          <w:rFonts w:ascii="Times New Roman" w:hAnsi="Times New Roman" w:cs="Times New Roman"/>
        </w:rPr>
        <w:t xml:space="preserve"> to the competing affordances of individual systems</w:t>
      </w:r>
      <w:r w:rsidR="000E3041" w:rsidRPr="007C56DF">
        <w:rPr>
          <w:rFonts w:ascii="Times New Roman" w:hAnsi="Times New Roman" w:cs="Times New Roman"/>
        </w:rPr>
        <w:t xml:space="preserve"> (Pugach &amp; Blanton, 2012)</w:t>
      </w:r>
      <w:r w:rsidR="003A310A" w:rsidRPr="007C56DF">
        <w:rPr>
          <w:rFonts w:ascii="Times New Roman" w:hAnsi="Times New Roman" w:cs="Times New Roman"/>
        </w:rPr>
        <w:t>.</w:t>
      </w:r>
    </w:p>
    <w:p w14:paraId="49794A8D" w14:textId="02A60BAC" w:rsidR="001A3813" w:rsidRPr="007C56DF" w:rsidRDefault="00424680" w:rsidP="007C56DF">
      <w:pPr>
        <w:rPr>
          <w:rFonts w:ascii="Times New Roman" w:hAnsi="Times New Roman" w:cs="Times New Roman"/>
        </w:rPr>
      </w:pPr>
      <w:r w:rsidRPr="007C56DF">
        <w:rPr>
          <w:rFonts w:ascii="Times New Roman" w:hAnsi="Times New Roman" w:cs="Times New Roman"/>
        </w:rPr>
        <w:t>As a result, g</w:t>
      </w:r>
      <w:r w:rsidR="005F7B3C" w:rsidRPr="007C56DF">
        <w:rPr>
          <w:rFonts w:ascii="Times New Roman" w:hAnsi="Times New Roman" w:cs="Times New Roman"/>
        </w:rPr>
        <w:t>raduates of one institution are not necessarily like graduates of other institutions</w:t>
      </w:r>
      <w:r w:rsidR="002B3C4A" w:rsidRPr="007C56DF">
        <w:rPr>
          <w:rFonts w:ascii="Times New Roman" w:hAnsi="Times New Roman" w:cs="Times New Roman"/>
        </w:rPr>
        <w:t xml:space="preserve"> or alternative licensure programs</w:t>
      </w:r>
      <w:r w:rsidR="00D72D8D" w:rsidRPr="007C56DF">
        <w:rPr>
          <w:rFonts w:ascii="Times New Roman" w:hAnsi="Times New Roman" w:cs="Times New Roman"/>
        </w:rPr>
        <w:t xml:space="preserve"> (Boyd, Grossman, Lankford, Loeb, &amp; Wyckoff, 20</w:t>
      </w:r>
      <w:r w:rsidR="006D5A6E" w:rsidRPr="007C56DF">
        <w:rPr>
          <w:rFonts w:ascii="Times New Roman" w:hAnsi="Times New Roman" w:cs="Times New Roman"/>
        </w:rPr>
        <w:t>09)</w:t>
      </w:r>
      <w:r w:rsidR="005F7B3C" w:rsidRPr="007C56DF">
        <w:rPr>
          <w:rFonts w:ascii="Times New Roman" w:hAnsi="Times New Roman" w:cs="Times New Roman"/>
        </w:rPr>
        <w:t>.  Their human and social capital is linked to the resources</w:t>
      </w:r>
      <w:r w:rsidR="000E3041" w:rsidRPr="007C56DF">
        <w:rPr>
          <w:rFonts w:ascii="Times New Roman" w:hAnsi="Times New Roman" w:cs="Times New Roman"/>
        </w:rPr>
        <w:t xml:space="preserve">, knowledge networks, </w:t>
      </w:r>
      <w:r w:rsidR="005F7B3C" w:rsidRPr="007C56DF">
        <w:rPr>
          <w:rFonts w:ascii="Times New Roman" w:hAnsi="Times New Roman" w:cs="Times New Roman"/>
        </w:rPr>
        <w:t>and human capital of the institutions from which they graduated.  They bring knowledge and skills into their</w:t>
      </w:r>
      <w:r w:rsidR="002614F4" w:rsidRPr="007C56DF">
        <w:rPr>
          <w:rFonts w:ascii="Times New Roman" w:hAnsi="Times New Roman" w:cs="Times New Roman"/>
        </w:rPr>
        <w:t xml:space="preserve"> practice environment and are transformed again</w:t>
      </w:r>
      <w:r w:rsidR="005F7B3C" w:rsidRPr="007C56DF">
        <w:rPr>
          <w:rFonts w:ascii="Times New Roman" w:hAnsi="Times New Roman" w:cs="Times New Roman"/>
        </w:rPr>
        <w:t xml:space="preserve"> by its properties, dispositions, and use of human and material resources.  </w:t>
      </w:r>
      <w:r w:rsidR="005438F3" w:rsidRPr="007C56DF">
        <w:rPr>
          <w:rFonts w:ascii="Times New Roman" w:hAnsi="Times New Roman" w:cs="Times New Roman"/>
        </w:rPr>
        <w:t xml:space="preserve">Envisioning these networked systems of activity helps to contextualize the localized cultures of practice that emerge from individual activity systems. </w:t>
      </w:r>
      <w:r w:rsidR="001A3813" w:rsidRPr="007C56DF">
        <w:rPr>
          <w:rFonts w:ascii="Times New Roman" w:hAnsi="Times New Roman" w:cs="Times New Roman"/>
        </w:rPr>
        <w:t xml:space="preserve">Teacher quality begins with practice-based teacher preparation grounded in current, evidence-based, applied research and continues to improve over the first ten years of practice as teachers engage in ongoing professional development </w:t>
      </w:r>
      <w:r w:rsidR="00010D5F" w:rsidRPr="007C56DF">
        <w:rPr>
          <w:rFonts w:ascii="Times New Roman" w:hAnsi="Times New Roman" w:cs="Times New Roman"/>
        </w:rPr>
        <w:fldChar w:fldCharType="begin"/>
      </w:r>
      <w:r w:rsidR="00010D5F" w:rsidRPr="007C56DF">
        <w:rPr>
          <w:rFonts w:ascii="Times New Roman" w:hAnsi="Times New Roman" w:cs="Times New Roman"/>
        </w:rPr>
        <w:instrText xml:space="preserve"> ADDIN EN.CITE &lt;EndNote&gt;&lt;Cite&gt;&lt;Author&gt;Darling-Hammond&lt;/Author&gt;&lt;Year&gt;2010&lt;/Year&gt;&lt;RecNum&gt;50&lt;/RecNum&gt;&lt;DisplayText&gt;(L. Darling-Hammond, 2010)&lt;/DisplayText&gt;&lt;record&gt;&lt;rec-number&gt;50&lt;/rec-number&gt;&lt;foreign-keys&gt;&lt;key app="EN" db-id="2wssdxr0kxzv0fe0et5xetd1pwe2aa25erzt"&gt;50&lt;/key&gt;&lt;/foreign-keys&gt;&lt;ref-type name="Journal Article"&gt;17&lt;/ref-type&gt;&lt;contributors&gt;&lt;authors&gt;&lt;author&gt;Darling-Hammond,  L.&lt;/author&gt;&lt;/authors&gt;&lt;/contributors&gt;&lt;titles&gt;&lt;title&gt;Teacher Education and the American Future&lt;/title&gt;&lt;secondary-title&gt;Journal of Teacher Education&lt;/secondary-title&gt;&lt;/titles&gt;&lt;periodical&gt;&lt;full-title&gt;Journal of Teacher Education&lt;/full-title&gt;&lt;/periodical&gt;&lt;pages&gt;35-47&lt;/pages&gt;&lt;volume&gt; 61 &lt;/volume&gt;&lt;number&gt;1&lt;/number&gt;&lt;dates&gt;&lt;year&gt;2010&lt;/year&gt;&lt;/dates&gt;&lt;urls&gt;&lt;/urls&gt;&lt;/record&gt;&lt;/Cite&gt;&lt;/EndNote&gt;</w:instrText>
      </w:r>
      <w:r w:rsidR="00010D5F" w:rsidRPr="007C56DF">
        <w:rPr>
          <w:rFonts w:ascii="Times New Roman" w:hAnsi="Times New Roman" w:cs="Times New Roman"/>
        </w:rPr>
        <w:fldChar w:fldCharType="separate"/>
      </w:r>
      <w:r w:rsidR="00010D5F" w:rsidRPr="007C56DF">
        <w:rPr>
          <w:rFonts w:ascii="Times New Roman" w:hAnsi="Times New Roman" w:cs="Times New Roman"/>
          <w:noProof/>
        </w:rPr>
        <w:t>(</w:t>
      </w:r>
      <w:hyperlink w:anchor="_ENREF_3" w:tooltip="Darling-Hammond, 2010 #50" w:history="1">
        <w:r w:rsidR="002614F4" w:rsidRPr="007C56DF">
          <w:rPr>
            <w:rFonts w:ascii="Times New Roman" w:eastAsia="Times New Roman" w:hAnsi="Times New Roman" w:cs="Times New Roman"/>
            <w:color w:val="000000"/>
          </w:rPr>
          <w:t>Kamman, McCray, Brownell, Ribuffo &amp; Wang, 2014;</w:t>
        </w:r>
        <w:r w:rsidR="00B117A9" w:rsidRPr="007C56DF">
          <w:rPr>
            <w:rFonts w:ascii="Times New Roman" w:hAnsi="Times New Roman" w:cs="Times New Roman"/>
            <w:noProof/>
          </w:rPr>
          <w:t xml:space="preserve"> Darling-Hammond, 2010</w:t>
        </w:r>
      </w:hyperlink>
      <w:r w:rsidR="00010D5F" w:rsidRPr="007C56DF">
        <w:rPr>
          <w:rFonts w:ascii="Times New Roman" w:hAnsi="Times New Roman" w:cs="Times New Roman"/>
          <w:noProof/>
        </w:rPr>
        <w:t>)</w:t>
      </w:r>
      <w:r w:rsidR="00010D5F" w:rsidRPr="007C56DF">
        <w:rPr>
          <w:rFonts w:ascii="Times New Roman" w:hAnsi="Times New Roman" w:cs="Times New Roman"/>
        </w:rPr>
        <w:fldChar w:fldCharType="end"/>
      </w:r>
      <w:r w:rsidR="00252057" w:rsidRPr="007C56DF">
        <w:rPr>
          <w:rFonts w:ascii="Times New Roman" w:hAnsi="Times New Roman" w:cs="Times New Roman"/>
        </w:rPr>
        <w:t xml:space="preserve">.  </w:t>
      </w:r>
      <w:r w:rsidR="00435FD2" w:rsidRPr="007C56DF">
        <w:rPr>
          <w:rFonts w:ascii="Times New Roman" w:hAnsi="Times New Roman" w:cs="Times New Roman"/>
        </w:rPr>
        <w:t xml:space="preserve">Given the long-term arc of professional growth, any systems change efforts in teacher education require </w:t>
      </w:r>
      <w:r w:rsidR="001A3813" w:rsidRPr="007C56DF">
        <w:rPr>
          <w:rFonts w:ascii="Times New Roman" w:hAnsi="Times New Roman" w:cs="Times New Roman"/>
        </w:rPr>
        <w:t>that researchers, teachers and school reformers work together to understand and refine professional development initiatives so that powerful professional development serves to improve the overall performance of teachers as they advance in their careers</w:t>
      </w:r>
      <w:r w:rsidR="0073339C" w:rsidRPr="007C56DF">
        <w:rPr>
          <w:rFonts w:ascii="Times New Roman" w:hAnsi="Times New Roman" w:cs="Times New Roman"/>
        </w:rPr>
        <w:t xml:space="preserve"> (Pugach &amp; Blanton, 2014)</w:t>
      </w:r>
      <w:r w:rsidR="001A3813" w:rsidRPr="007C56DF">
        <w:rPr>
          <w:rFonts w:ascii="Times New Roman" w:hAnsi="Times New Roman" w:cs="Times New Roman"/>
        </w:rPr>
        <w:t>.</w:t>
      </w:r>
      <w:r w:rsidR="00435FD2" w:rsidRPr="007C56DF">
        <w:rPr>
          <w:rFonts w:ascii="Times New Roman" w:hAnsi="Times New Roman" w:cs="Times New Roman"/>
        </w:rPr>
        <w:t xml:space="preserve">  </w:t>
      </w:r>
      <w:r w:rsidR="003A310A" w:rsidRPr="007C56DF">
        <w:rPr>
          <w:rFonts w:ascii="Times New Roman" w:hAnsi="Times New Roman" w:cs="Times New Roman"/>
        </w:rPr>
        <w:t>Further, understanding that multiple kinds of incentives and affordances are needed to transform what is likely an array of nested and compl</w:t>
      </w:r>
      <w:r w:rsidR="00AA4F42" w:rsidRPr="007C56DF">
        <w:rPr>
          <w:rFonts w:ascii="Times New Roman" w:hAnsi="Times New Roman" w:cs="Times New Roman"/>
        </w:rPr>
        <w:t>e</w:t>
      </w:r>
      <w:r w:rsidR="003A310A" w:rsidRPr="007C56DF">
        <w:rPr>
          <w:rFonts w:ascii="Times New Roman" w:hAnsi="Times New Roman" w:cs="Times New Roman"/>
        </w:rPr>
        <w:t>mentary teacher education systems is critical to systems change in teacher education.</w:t>
      </w:r>
    </w:p>
    <w:p w14:paraId="398FBB51" w14:textId="79D57393" w:rsidR="00FB794F" w:rsidRPr="007C56DF" w:rsidRDefault="00D03091" w:rsidP="007C56DF">
      <w:pPr>
        <w:pStyle w:val="Heading1"/>
        <w:spacing w:line="480" w:lineRule="auto"/>
        <w:rPr>
          <w:rFonts w:ascii="Times New Roman" w:hAnsi="Times New Roman" w:cs="Times New Roman"/>
        </w:rPr>
      </w:pPr>
      <w:r w:rsidRPr="007C56DF">
        <w:rPr>
          <w:rFonts w:ascii="Times New Roman" w:hAnsi="Times New Roman" w:cs="Times New Roman"/>
        </w:rPr>
        <w:t>Approach to the Literature Review</w:t>
      </w:r>
    </w:p>
    <w:p w14:paraId="661705B4" w14:textId="0B820E89" w:rsidR="002D24FB" w:rsidRPr="007C56DF" w:rsidRDefault="00FB794F" w:rsidP="007C56DF">
      <w:pPr>
        <w:rPr>
          <w:rFonts w:ascii="Times New Roman" w:hAnsi="Times New Roman" w:cs="Times New Roman"/>
        </w:rPr>
      </w:pPr>
      <w:r w:rsidRPr="007C56DF">
        <w:rPr>
          <w:rFonts w:ascii="Times New Roman" w:hAnsi="Times New Roman" w:cs="Times New Roman"/>
        </w:rPr>
        <w:t>We conducted a systematic and comprehensive review of the literature on system wide reform within multi-level education systems. Our review sought to identify studies</w:t>
      </w:r>
      <w:r w:rsidR="00102BAC" w:rsidRPr="007C56DF">
        <w:rPr>
          <w:rFonts w:ascii="Times New Roman" w:hAnsi="Times New Roman" w:cs="Times New Roman"/>
        </w:rPr>
        <w:t xml:space="preserve">, reports, and </w:t>
      </w:r>
      <w:r w:rsidR="00102BAC" w:rsidRPr="007C56DF">
        <w:rPr>
          <w:rFonts w:ascii="Times New Roman" w:hAnsi="Times New Roman" w:cs="Times New Roman"/>
        </w:rPr>
        <w:lastRenderedPageBreak/>
        <w:t>articles</w:t>
      </w:r>
      <w:r w:rsidRPr="007C56DF">
        <w:rPr>
          <w:rFonts w:ascii="Times New Roman" w:hAnsi="Times New Roman" w:cs="Times New Roman"/>
        </w:rPr>
        <w:t xml:space="preserve"> that evaluated effective methods for implementing and sustaining large-scale</w:t>
      </w:r>
      <w:r w:rsidR="00102BAC" w:rsidRPr="007C56DF">
        <w:rPr>
          <w:rFonts w:ascii="Times New Roman" w:hAnsi="Times New Roman" w:cs="Times New Roman"/>
        </w:rPr>
        <w:t xml:space="preserve"> teacher education</w:t>
      </w:r>
      <w:r w:rsidRPr="007C56DF">
        <w:rPr>
          <w:rFonts w:ascii="Times New Roman" w:hAnsi="Times New Roman" w:cs="Times New Roman"/>
        </w:rPr>
        <w:t xml:space="preserve"> reform. </w:t>
      </w:r>
      <w:r w:rsidR="00102BAC" w:rsidRPr="007C56DF">
        <w:rPr>
          <w:rFonts w:ascii="Times New Roman" w:hAnsi="Times New Roman" w:cs="Times New Roman"/>
        </w:rPr>
        <w:t>We looked at reform for what teachers learn as well as how they learn it.  We also looked at literature that explored the levers for such reform within state an</w:t>
      </w:r>
      <w:r w:rsidR="00D701F7" w:rsidRPr="007C56DF">
        <w:rPr>
          <w:rFonts w:ascii="Times New Roman" w:hAnsi="Times New Roman" w:cs="Times New Roman"/>
        </w:rPr>
        <w:t xml:space="preserve">d federal policy and implementation.  </w:t>
      </w:r>
      <w:r w:rsidRPr="007C56DF">
        <w:rPr>
          <w:rFonts w:ascii="Times New Roman" w:hAnsi="Times New Roman" w:cs="Times New Roman"/>
        </w:rPr>
        <w:t xml:space="preserve">Most importantly, we strove to identify research that could inform the ambitious aims of the CEEDAR Center in its delivery of technical assistance to multiple state education systems. </w:t>
      </w:r>
      <w:r w:rsidR="002D24FB" w:rsidRPr="007C56DF">
        <w:rPr>
          <w:rFonts w:ascii="Times New Roman" w:hAnsi="Times New Roman" w:cs="Times New Roman"/>
        </w:rPr>
        <w:t xml:space="preserve"> CEEDAR, the Collaboration for Effective Education Development, Accountability, and Reform, is a national technical assistance center, funded by the federal Department of Education, to assist states, IHEs, and LEAs to create aligned, coherent professional learning systems the provided opportunities to learn for teachers and leaders.  Its four goals are focused on the following:</w:t>
      </w:r>
    </w:p>
    <w:p w14:paraId="330F2743" w14:textId="6761FB52" w:rsidR="002D24FB" w:rsidRPr="007C56DF" w:rsidRDefault="002D24FB" w:rsidP="007C56DF">
      <w:pPr>
        <w:rPr>
          <w:rFonts w:ascii="Times New Roman" w:hAnsi="Times New Roman" w:cs="Times New Roman"/>
        </w:rPr>
      </w:pPr>
      <w:r w:rsidRPr="007C56DF">
        <w:rPr>
          <w:rFonts w:ascii="Times New Roman" w:hAnsi="Times New Roman" w:cs="Times New Roman"/>
          <w:b/>
        </w:rPr>
        <w:t>Reform</w:t>
      </w:r>
      <w:r w:rsidRPr="007C56DF">
        <w:rPr>
          <w:rFonts w:ascii="Times New Roman" w:hAnsi="Times New Roman" w:cs="Times New Roman"/>
        </w:rPr>
        <w:t xml:space="preserve"> teaching and leadership preparation programs to embed evidence-based practices.</w:t>
      </w:r>
    </w:p>
    <w:p w14:paraId="7B672A2D" w14:textId="6E4178D6" w:rsidR="002D24FB" w:rsidRPr="007C56DF" w:rsidRDefault="002D24FB" w:rsidP="007C56DF">
      <w:pPr>
        <w:rPr>
          <w:rFonts w:ascii="Times New Roman" w:hAnsi="Times New Roman" w:cs="Times New Roman"/>
        </w:rPr>
      </w:pPr>
      <w:r w:rsidRPr="007C56DF">
        <w:rPr>
          <w:rFonts w:ascii="Times New Roman" w:hAnsi="Times New Roman" w:cs="Times New Roman"/>
          <w:b/>
          <w:bCs/>
        </w:rPr>
        <w:t>Revise licensing standards</w:t>
      </w:r>
      <w:r w:rsidRPr="007C56DF">
        <w:rPr>
          <w:rFonts w:ascii="Times New Roman" w:hAnsi="Times New Roman" w:cs="Times New Roman"/>
        </w:rPr>
        <w:t xml:space="preserve"> to align with reforms in teacher and leader preparation</w:t>
      </w:r>
      <w:r w:rsidR="006F119F" w:rsidRPr="007C56DF">
        <w:rPr>
          <w:rFonts w:ascii="Times New Roman" w:hAnsi="Times New Roman" w:cs="Times New Roman"/>
        </w:rPr>
        <w:t>.</w:t>
      </w:r>
    </w:p>
    <w:p w14:paraId="17745AEA" w14:textId="67295B38" w:rsidR="002D24FB" w:rsidRPr="007C56DF" w:rsidRDefault="002D24FB" w:rsidP="007C56DF">
      <w:pPr>
        <w:rPr>
          <w:rFonts w:ascii="Times New Roman" w:hAnsi="Times New Roman" w:cs="Times New Roman"/>
        </w:rPr>
      </w:pPr>
      <w:r w:rsidRPr="007C56DF">
        <w:rPr>
          <w:rFonts w:ascii="Times New Roman" w:hAnsi="Times New Roman" w:cs="Times New Roman"/>
          <w:b/>
          <w:bCs/>
        </w:rPr>
        <w:t xml:space="preserve">Refine </w:t>
      </w:r>
      <w:r w:rsidRPr="007C56DF">
        <w:rPr>
          <w:rFonts w:ascii="Times New Roman" w:hAnsi="Times New Roman" w:cs="Times New Roman"/>
          <w:bCs/>
        </w:rPr>
        <w:t>personnel evaluation systems</w:t>
      </w:r>
      <w:r w:rsidRPr="007C56DF">
        <w:rPr>
          <w:rFonts w:ascii="Times New Roman" w:hAnsi="Times New Roman" w:cs="Times New Roman"/>
          <w:b/>
          <w:bCs/>
        </w:rPr>
        <w:t xml:space="preserve"> </w:t>
      </w:r>
      <w:r w:rsidR="006F119F" w:rsidRPr="007C56DF">
        <w:rPr>
          <w:rFonts w:ascii="Times New Roman" w:hAnsi="Times New Roman" w:cs="Times New Roman"/>
        </w:rPr>
        <w:t xml:space="preserve">in teacher and leader preparation programs.  </w:t>
      </w:r>
    </w:p>
    <w:p w14:paraId="0AA0363D" w14:textId="69D8C516" w:rsidR="002D24FB" w:rsidRPr="007C56DF" w:rsidRDefault="002D24FB" w:rsidP="007C56DF">
      <w:pPr>
        <w:rPr>
          <w:rFonts w:ascii="Times New Roman" w:hAnsi="Times New Roman" w:cs="Times New Roman"/>
        </w:rPr>
      </w:pPr>
      <w:r w:rsidRPr="007C56DF">
        <w:rPr>
          <w:rFonts w:ascii="Times New Roman" w:hAnsi="Times New Roman" w:cs="Times New Roman"/>
          <w:b/>
        </w:rPr>
        <w:t xml:space="preserve">Realign </w:t>
      </w:r>
      <w:r w:rsidRPr="007C56DF">
        <w:rPr>
          <w:rFonts w:ascii="Times New Roman" w:hAnsi="Times New Roman" w:cs="Times New Roman"/>
        </w:rPr>
        <w:t>policy structures and professional learning systems</w:t>
      </w:r>
      <w:r w:rsidRPr="007C56DF">
        <w:rPr>
          <w:rFonts w:ascii="Times New Roman" w:hAnsi="Times New Roman" w:cs="Times New Roman"/>
          <w:b/>
        </w:rPr>
        <w:t xml:space="preserve">.  </w:t>
      </w:r>
    </w:p>
    <w:p w14:paraId="1A9D6422" w14:textId="60D0A6EA" w:rsidR="00385D64" w:rsidRPr="007C56DF" w:rsidRDefault="00FB794F" w:rsidP="007C56DF">
      <w:pPr>
        <w:rPr>
          <w:rFonts w:ascii="Times New Roman" w:hAnsi="Times New Roman" w:cs="Times New Roman"/>
        </w:rPr>
      </w:pPr>
      <w:r w:rsidRPr="007C56DF">
        <w:rPr>
          <w:rFonts w:ascii="Times New Roman" w:hAnsi="Times New Roman" w:cs="Times New Roman"/>
        </w:rPr>
        <w:t xml:space="preserve">We specifically targeted research that evaluated tools for systemic change such as teacher evaluation. Moreover, we looked for studies that evaluated change over multiple organizational levels that sustained their impact over time. Our initial list </w:t>
      </w:r>
      <w:r w:rsidR="00D701F7" w:rsidRPr="007C56DF">
        <w:rPr>
          <w:rFonts w:ascii="Times New Roman" w:hAnsi="Times New Roman" w:cs="Times New Roman"/>
        </w:rPr>
        <w:t xml:space="preserve">of </w:t>
      </w:r>
      <w:r w:rsidRPr="007C56DF">
        <w:rPr>
          <w:rFonts w:ascii="Times New Roman" w:hAnsi="Times New Roman" w:cs="Times New Roman"/>
        </w:rPr>
        <w:t>sources came from four prior reviews of the literature. In total, we reviewed 697 publications</w:t>
      </w:r>
      <w:r w:rsidR="00E70C98">
        <w:rPr>
          <w:rFonts w:ascii="Times New Roman" w:hAnsi="Times New Roman" w:cs="Times New Roman"/>
        </w:rPr>
        <w:t xml:space="preserve"> and selected </w:t>
      </w:r>
      <w:r w:rsidR="00391981">
        <w:rPr>
          <w:rFonts w:ascii="Times New Roman" w:hAnsi="Times New Roman" w:cs="Times New Roman"/>
        </w:rPr>
        <w:t>127 for review</w:t>
      </w:r>
      <w:r w:rsidRPr="007C56DF">
        <w:rPr>
          <w:rFonts w:ascii="Times New Roman" w:hAnsi="Times New Roman" w:cs="Times New Roman"/>
        </w:rPr>
        <w:t xml:space="preserve">. </w:t>
      </w:r>
    </w:p>
    <w:p w14:paraId="7AE9F229" w14:textId="371A7F54" w:rsidR="00FB794F" w:rsidRPr="007C56DF" w:rsidRDefault="00FB794F" w:rsidP="007C56DF">
      <w:pPr>
        <w:pStyle w:val="Heading2"/>
        <w:rPr>
          <w:rFonts w:ascii="Times New Roman" w:hAnsi="Times New Roman" w:cs="Times New Roman"/>
        </w:rPr>
      </w:pPr>
      <w:r w:rsidRPr="007C56DF">
        <w:rPr>
          <w:rFonts w:ascii="Times New Roman" w:hAnsi="Times New Roman" w:cs="Times New Roman"/>
        </w:rPr>
        <w:t xml:space="preserve">Inclusion </w:t>
      </w:r>
      <w:r w:rsidR="006335C7" w:rsidRPr="007C56DF">
        <w:rPr>
          <w:rFonts w:ascii="Times New Roman" w:hAnsi="Times New Roman" w:cs="Times New Roman"/>
        </w:rPr>
        <w:t>C</w:t>
      </w:r>
      <w:r w:rsidRPr="007C56DF">
        <w:rPr>
          <w:rFonts w:ascii="Times New Roman" w:hAnsi="Times New Roman" w:cs="Times New Roman"/>
        </w:rPr>
        <w:t>riteria</w:t>
      </w:r>
    </w:p>
    <w:p w14:paraId="7BFBF8FD" w14:textId="2FE3CB24" w:rsidR="00FB794F" w:rsidRPr="007C56DF" w:rsidRDefault="00FB794F" w:rsidP="007C56DF">
      <w:pPr>
        <w:rPr>
          <w:rFonts w:ascii="Times New Roman" w:hAnsi="Times New Roman" w:cs="Times New Roman"/>
        </w:rPr>
      </w:pPr>
      <w:r w:rsidRPr="007C56DF">
        <w:rPr>
          <w:rFonts w:ascii="Times New Roman" w:hAnsi="Times New Roman" w:cs="Times New Roman"/>
        </w:rPr>
        <w:t xml:space="preserve">For the purposes of this paper, we wanted to include rigorous research that was both informative and apropos to CEEDAR professionals in their support of state education systems and institutions of higher education. In our final review we looked at </w:t>
      </w:r>
      <w:r w:rsidR="00A5180A" w:rsidRPr="007C56DF">
        <w:rPr>
          <w:rFonts w:ascii="Times New Roman" w:hAnsi="Times New Roman" w:cs="Times New Roman"/>
        </w:rPr>
        <w:t>studies as well as research and</w:t>
      </w:r>
      <w:r w:rsidR="006D5A6E" w:rsidRPr="007C56DF">
        <w:rPr>
          <w:rFonts w:ascii="Times New Roman" w:hAnsi="Times New Roman" w:cs="Times New Roman"/>
        </w:rPr>
        <w:t xml:space="preserve"> policy reviews </w:t>
      </w:r>
      <w:r w:rsidRPr="007C56DF">
        <w:rPr>
          <w:rFonts w:ascii="Times New Roman" w:hAnsi="Times New Roman" w:cs="Times New Roman"/>
        </w:rPr>
        <w:t xml:space="preserve">that were (a) written in English, (b) published after 1980, (c) peer reviewed </w:t>
      </w:r>
      <w:r w:rsidR="00D701F7" w:rsidRPr="007C56DF">
        <w:rPr>
          <w:rFonts w:ascii="Times New Roman" w:hAnsi="Times New Roman" w:cs="Times New Roman"/>
        </w:rPr>
        <w:t xml:space="preserve">or </w:t>
      </w:r>
      <w:r w:rsidR="00D701F7" w:rsidRPr="007C56DF">
        <w:rPr>
          <w:rFonts w:ascii="Times New Roman" w:hAnsi="Times New Roman" w:cs="Times New Roman"/>
        </w:rPr>
        <w:lastRenderedPageBreak/>
        <w:t xml:space="preserve">published by reputable policy centers, </w:t>
      </w:r>
      <w:r w:rsidRPr="007C56DF">
        <w:rPr>
          <w:rFonts w:ascii="Times New Roman" w:hAnsi="Times New Roman" w:cs="Times New Roman"/>
        </w:rPr>
        <w:t xml:space="preserve">and (d) took place in education systems including K-12 education as well as the university level. At first, we conducted a quick screening of the documents for the inclusion criteria by reading the titles, abstracts and keywords. From there, we further </w:t>
      </w:r>
      <w:r w:rsidR="00D701F7" w:rsidRPr="007C56DF">
        <w:rPr>
          <w:rFonts w:ascii="Times New Roman" w:hAnsi="Times New Roman" w:cs="Times New Roman"/>
        </w:rPr>
        <w:t>curated</w:t>
      </w:r>
      <w:r w:rsidRPr="007C56DF">
        <w:rPr>
          <w:rFonts w:ascii="Times New Roman" w:hAnsi="Times New Roman" w:cs="Times New Roman"/>
        </w:rPr>
        <w:t xml:space="preserve"> our reference list by reading the introductions and conclusions in an effort to identify the appropriate elements of our search. </w:t>
      </w:r>
    </w:p>
    <w:p w14:paraId="0C8C09E9" w14:textId="77777777" w:rsidR="00FB794F" w:rsidRPr="007C56DF" w:rsidRDefault="00FB794F" w:rsidP="007C56DF">
      <w:pPr>
        <w:pStyle w:val="Heading2"/>
        <w:rPr>
          <w:rFonts w:ascii="Times New Roman" w:hAnsi="Times New Roman" w:cs="Times New Roman"/>
        </w:rPr>
      </w:pPr>
      <w:r w:rsidRPr="007C56DF">
        <w:rPr>
          <w:rFonts w:ascii="Times New Roman" w:hAnsi="Times New Roman" w:cs="Times New Roman"/>
        </w:rPr>
        <w:t>Study Selection</w:t>
      </w:r>
    </w:p>
    <w:p w14:paraId="3A95D550" w14:textId="3CD254D9" w:rsidR="000C06FA" w:rsidRPr="007C56DF" w:rsidRDefault="00FB794F" w:rsidP="007C56DF">
      <w:pPr>
        <w:rPr>
          <w:rFonts w:ascii="Times New Roman" w:hAnsi="Times New Roman" w:cs="Times New Roman"/>
        </w:rPr>
      </w:pPr>
      <w:r w:rsidRPr="007C56DF">
        <w:rPr>
          <w:rFonts w:ascii="Times New Roman" w:hAnsi="Times New Roman" w:cs="Times New Roman"/>
        </w:rPr>
        <w:t>We developed our search methods in alignment with CEEDAR’s mission and goals. We aimed for our work to prove useful to CEEDAR professionals within the context of their intensive technical assistance work with different states. Therefore, we identified topical studies that demonstrated large-scale reform, proposed dynamic systemic impact and took place within an educational context. We excluded all studies dated before 1980. We omitted many sources due to the limited scope of their reform, such as narrowing their focus to evaluating principals at the school level. In addition, we excluded several sources that studied systems change within a business, social or political context. In this way, we hoped to identify the key research that would best support CEEDAR representatives as they facilitate educational reform in the intensive states.</w:t>
      </w:r>
      <w:r w:rsidR="001562CE" w:rsidRPr="007C56DF">
        <w:rPr>
          <w:rFonts w:ascii="Times New Roman" w:hAnsi="Times New Roman" w:cs="Times New Roman"/>
        </w:rPr>
        <w:t xml:space="preserve">  </w:t>
      </w:r>
      <w:r w:rsidR="000C06FA" w:rsidRPr="007C56DF">
        <w:rPr>
          <w:rFonts w:ascii="Times New Roman" w:hAnsi="Times New Roman" w:cs="Times New Roman"/>
        </w:rPr>
        <w:t>There are three sections included in this literature review:  (a) what we know about teacher education systems; (b) levers of substantive change for teacher education; and (c) teacher education systems that work.   Each section laces complexity theory, systemic change, and cultural historical activity theory into the analysis of the literature.</w:t>
      </w:r>
    </w:p>
    <w:p w14:paraId="5BE6F4E5" w14:textId="7A12224B" w:rsidR="001A4B81" w:rsidRPr="007C56DF" w:rsidRDefault="001F73E9" w:rsidP="007C56DF">
      <w:pPr>
        <w:pStyle w:val="Heading1"/>
        <w:spacing w:line="480" w:lineRule="auto"/>
        <w:rPr>
          <w:rFonts w:ascii="Times New Roman" w:hAnsi="Times New Roman" w:cs="Times New Roman"/>
        </w:rPr>
      </w:pPr>
      <w:r w:rsidRPr="007C56DF">
        <w:rPr>
          <w:rFonts w:ascii="Times New Roman" w:hAnsi="Times New Roman" w:cs="Times New Roman"/>
        </w:rPr>
        <w:t>What We Know about Teacher Education Systems</w:t>
      </w:r>
    </w:p>
    <w:p w14:paraId="3926DD49" w14:textId="547E4794" w:rsidR="00D701F7" w:rsidRPr="007C56DF" w:rsidRDefault="00D701F7" w:rsidP="007C56DF">
      <w:pPr>
        <w:rPr>
          <w:rFonts w:ascii="Times New Roman" w:hAnsi="Times New Roman" w:cs="Times New Roman"/>
        </w:rPr>
      </w:pPr>
      <w:r w:rsidRPr="007C56DF">
        <w:rPr>
          <w:rFonts w:ascii="Times New Roman" w:hAnsi="Times New Roman" w:cs="Times New Roman"/>
        </w:rPr>
        <w:t xml:space="preserve">This section explores what we know about teacher education systems and the emerging literature about what constitutes effective teacher preparation programs.  Part of this discussion touches on the measurement of effectiveness and its implications for </w:t>
      </w:r>
      <w:r w:rsidR="0060052E" w:rsidRPr="007C56DF">
        <w:rPr>
          <w:rFonts w:ascii="Times New Roman" w:hAnsi="Times New Roman" w:cs="Times New Roman"/>
        </w:rPr>
        <w:t xml:space="preserve">emphasizing some pathways </w:t>
      </w:r>
      <w:r w:rsidR="0060052E" w:rsidRPr="007C56DF">
        <w:rPr>
          <w:rFonts w:ascii="Times New Roman" w:hAnsi="Times New Roman" w:cs="Times New Roman"/>
        </w:rPr>
        <w:lastRenderedPageBreak/>
        <w:t>and processes over others.  This, in turn, h</w:t>
      </w:r>
      <w:r w:rsidR="001A7529" w:rsidRPr="007C56DF">
        <w:rPr>
          <w:rFonts w:ascii="Times New Roman" w:hAnsi="Times New Roman" w:cs="Times New Roman"/>
        </w:rPr>
        <w:t>olds</w:t>
      </w:r>
      <w:r w:rsidR="0060052E" w:rsidRPr="007C56DF">
        <w:rPr>
          <w:rFonts w:ascii="Times New Roman" w:hAnsi="Times New Roman" w:cs="Times New Roman"/>
        </w:rPr>
        <w:t xml:space="preserve"> implications for the design of policy and its role in shaping the preparation of a teacher workforce prepared to engage the multilingual, multinational, multicultural, multi-abled students of contemporary </w:t>
      </w:r>
      <w:r w:rsidR="00933F77" w:rsidRPr="007C56DF">
        <w:rPr>
          <w:rFonts w:ascii="Times New Roman" w:hAnsi="Times New Roman" w:cs="Times New Roman"/>
        </w:rPr>
        <w:t>U.S.</w:t>
      </w:r>
      <w:r w:rsidR="0060052E" w:rsidRPr="007C56DF">
        <w:rPr>
          <w:rFonts w:ascii="Times New Roman" w:hAnsi="Times New Roman" w:cs="Times New Roman"/>
        </w:rPr>
        <w:t xml:space="preserve"> society</w:t>
      </w:r>
      <w:r w:rsidR="006F649B" w:rsidRPr="007C56DF">
        <w:rPr>
          <w:rFonts w:ascii="Times New Roman" w:hAnsi="Times New Roman" w:cs="Times New Roman"/>
        </w:rPr>
        <w:t xml:space="preserve">, </w:t>
      </w:r>
      <w:r w:rsidR="001621B5" w:rsidRPr="007C56DF">
        <w:rPr>
          <w:rFonts w:ascii="Times New Roman" w:hAnsi="Times New Roman" w:cs="Times New Roman"/>
        </w:rPr>
        <w:t xml:space="preserve">whose needs, abilities (and disabilities) and capacities can be minoritized by the very services designed to support them (Artiles, 2014).  </w:t>
      </w:r>
    </w:p>
    <w:p w14:paraId="464DECB4" w14:textId="77777777" w:rsidR="001A4B81" w:rsidRPr="007C56DF" w:rsidRDefault="001A4B81" w:rsidP="007C56DF">
      <w:pPr>
        <w:pStyle w:val="Heading2"/>
        <w:rPr>
          <w:rFonts w:ascii="Times New Roman" w:hAnsi="Times New Roman" w:cs="Times New Roman"/>
        </w:rPr>
      </w:pPr>
      <w:r w:rsidRPr="007C56DF">
        <w:rPr>
          <w:rFonts w:ascii="Times New Roman" w:hAnsi="Times New Roman" w:cs="Times New Roman"/>
        </w:rPr>
        <w:t>Systems for Teacher Preparation</w:t>
      </w:r>
    </w:p>
    <w:p w14:paraId="0A920BDD" w14:textId="3284ABD6" w:rsidR="00E06111" w:rsidRPr="007C56DF" w:rsidRDefault="0060052E" w:rsidP="007C56DF">
      <w:pPr>
        <w:rPr>
          <w:rFonts w:ascii="Times New Roman" w:hAnsi="Times New Roman" w:cs="Times New Roman"/>
        </w:rPr>
      </w:pPr>
      <w:r w:rsidRPr="007C56DF">
        <w:rPr>
          <w:rFonts w:ascii="Times New Roman" w:hAnsi="Times New Roman" w:cs="Times New Roman"/>
        </w:rPr>
        <w:t>In a number of reports roughly spanning the years 2006 to 2014, the Stanford Center for Opportunity Policy in Education led by Linda Darling</w:t>
      </w:r>
      <w:r w:rsidR="00580D79" w:rsidRPr="007C56DF">
        <w:rPr>
          <w:rFonts w:ascii="Times New Roman" w:hAnsi="Times New Roman" w:cs="Times New Roman"/>
        </w:rPr>
        <w:t>-</w:t>
      </w:r>
      <w:r w:rsidRPr="007C56DF">
        <w:rPr>
          <w:rFonts w:ascii="Times New Roman" w:hAnsi="Times New Roman" w:cs="Times New Roman"/>
        </w:rPr>
        <w:t>Hammond, a distinguished professor at Stanford University and a leader in the field of teacher education, has described the features of effective teacher preparation programs</w:t>
      </w:r>
      <w:r w:rsidR="0057780A" w:rsidRPr="007C56DF">
        <w:rPr>
          <w:rFonts w:ascii="Times New Roman" w:hAnsi="Times New Roman" w:cs="Times New Roman"/>
        </w:rPr>
        <w:t xml:space="preserve"> for 21</w:t>
      </w:r>
      <w:r w:rsidR="0057780A" w:rsidRPr="007C56DF">
        <w:rPr>
          <w:rFonts w:ascii="Times New Roman" w:hAnsi="Times New Roman" w:cs="Times New Roman"/>
          <w:vertAlign w:val="superscript"/>
        </w:rPr>
        <w:t>st</w:t>
      </w:r>
      <w:r w:rsidR="0057780A" w:rsidRPr="007C56DF">
        <w:rPr>
          <w:rFonts w:ascii="Times New Roman" w:hAnsi="Times New Roman" w:cs="Times New Roman"/>
        </w:rPr>
        <w:t xml:space="preserve"> century schools</w:t>
      </w:r>
      <w:r w:rsidRPr="007C56DF">
        <w:rPr>
          <w:rFonts w:ascii="Times New Roman" w:hAnsi="Times New Roman" w:cs="Times New Roman"/>
        </w:rPr>
        <w:t xml:space="preserve">.  </w:t>
      </w:r>
      <w:r w:rsidRPr="00E70C98">
        <w:rPr>
          <w:rFonts w:ascii="Times New Roman" w:hAnsi="Times New Roman" w:cs="Times New Roman"/>
        </w:rPr>
        <w:t xml:space="preserve">These programs </w:t>
      </w:r>
      <w:r w:rsidR="00B062D3" w:rsidRPr="00E70C98">
        <w:rPr>
          <w:rFonts w:ascii="Times New Roman" w:hAnsi="Times New Roman" w:cs="Times New Roman"/>
        </w:rPr>
        <w:t xml:space="preserve">bridge research, evidence based practice and the direct and focused coaching of teacher performance in the classroom </w:t>
      </w:r>
      <w:r w:rsidR="000E3041" w:rsidRPr="00E70C98">
        <w:rPr>
          <w:rFonts w:ascii="Times New Roman" w:hAnsi="Times New Roman" w:cs="Times New Roman"/>
        </w:rPr>
        <w:t>(</w:t>
      </w:r>
      <w:r w:rsidR="00D701F7" w:rsidRPr="00E70C98">
        <w:rPr>
          <w:rFonts w:ascii="Times New Roman" w:hAnsi="Times New Roman" w:cs="Times New Roman"/>
        </w:rPr>
        <w:fldChar w:fldCharType="begin"/>
      </w:r>
      <w:r w:rsidR="00D701F7" w:rsidRPr="00E70C98">
        <w:rPr>
          <w:rFonts w:ascii="Times New Roman" w:hAnsi="Times New Roman" w:cs="Times New Roman"/>
        </w:rPr>
        <w:instrText xml:space="preserve"> ADDIN EN.CITE &lt;EndNote&gt;&lt;Cite&gt;&lt;Author&gt;Darling-Hammond&lt;/Author&gt;&lt;Year&gt;2010&lt;/Year&gt;&lt;RecNum&gt;50&lt;/RecNum&gt;&lt;DisplayText&gt;(L. Darling-Hammond, 2010)&lt;/DisplayText&gt;&lt;record&gt;&lt;rec-number&gt;50&lt;/rec-number&gt;&lt;foreign-keys&gt;&lt;key app="EN" db-id="2wssdxr0kxzv0fe0et5xetd1pwe2aa25erzt"&gt;50&lt;/key&gt;&lt;/foreign-keys&gt;&lt;ref-type name="Journal Article"&gt;17&lt;/ref-type&gt;&lt;contributors&gt;&lt;authors&gt;&lt;author&gt;Darling-Hammond,  L.&lt;/author&gt;&lt;/authors&gt;&lt;/contributors&gt;&lt;titles&gt;&lt;title&gt;Teacher Education and the American Future&lt;/title&gt;&lt;secondary-title&gt;Journal of Teacher Education&lt;/secondary-title&gt;&lt;/titles&gt;&lt;periodical&gt;&lt;full-title&gt;Journal of Teacher Education&lt;/full-title&gt;&lt;/periodical&gt;&lt;pages&gt;35-47&lt;/pages&gt;&lt;volume&gt; 61 &lt;/volume&gt;&lt;number&gt;1&lt;/number&gt;&lt;dates&gt;&lt;year&gt;2010&lt;/year&gt;&lt;/dates&gt;&lt;urls&gt;&lt;/urls&gt;&lt;/record&gt;&lt;/Cite&gt;&lt;/EndNote&gt;</w:instrText>
      </w:r>
      <w:r w:rsidR="00D701F7" w:rsidRPr="00E70C98">
        <w:rPr>
          <w:rFonts w:ascii="Times New Roman" w:hAnsi="Times New Roman" w:cs="Times New Roman"/>
        </w:rPr>
        <w:fldChar w:fldCharType="separate"/>
      </w:r>
      <w:r w:rsidR="000E3041" w:rsidRPr="00E70C98">
        <w:rPr>
          <w:rFonts w:ascii="Times New Roman" w:hAnsi="Times New Roman" w:cs="Times New Roman"/>
          <w:noProof/>
        </w:rPr>
        <w:t>Darling-Hammond, 2010</w:t>
      </w:r>
      <w:r w:rsidR="00D701F7" w:rsidRPr="00E70C98">
        <w:rPr>
          <w:rFonts w:ascii="Times New Roman" w:hAnsi="Times New Roman" w:cs="Times New Roman"/>
          <w:noProof/>
        </w:rPr>
        <w:t>)</w:t>
      </w:r>
      <w:r w:rsidR="00D701F7" w:rsidRPr="00E70C98">
        <w:rPr>
          <w:rFonts w:ascii="Times New Roman" w:hAnsi="Times New Roman" w:cs="Times New Roman"/>
        </w:rPr>
        <w:fldChar w:fldCharType="end"/>
      </w:r>
      <w:r w:rsidR="00B062D3" w:rsidRPr="00E70C98">
        <w:rPr>
          <w:rFonts w:ascii="Times New Roman" w:hAnsi="Times New Roman" w:cs="Times New Roman"/>
        </w:rPr>
        <w:t>.</w:t>
      </w:r>
      <w:r w:rsidR="00D701F7" w:rsidRPr="007C56DF">
        <w:rPr>
          <w:rFonts w:ascii="Times New Roman" w:hAnsi="Times New Roman" w:cs="Times New Roman"/>
        </w:rPr>
        <w:t xml:space="preserve">  </w:t>
      </w:r>
      <w:r w:rsidRPr="007C56DF">
        <w:rPr>
          <w:rFonts w:ascii="Times New Roman" w:hAnsi="Times New Roman" w:cs="Times New Roman"/>
        </w:rPr>
        <w:t>A number of types of organizations engage</w:t>
      </w:r>
      <w:r w:rsidR="001A7529" w:rsidRPr="007C56DF">
        <w:rPr>
          <w:rFonts w:ascii="Times New Roman" w:hAnsi="Times New Roman" w:cs="Times New Roman"/>
        </w:rPr>
        <w:t xml:space="preserve"> in</w:t>
      </w:r>
      <w:r w:rsidRPr="007C56DF">
        <w:rPr>
          <w:rFonts w:ascii="Times New Roman" w:hAnsi="Times New Roman" w:cs="Times New Roman"/>
        </w:rPr>
        <w:t xml:space="preserve"> teacher education</w:t>
      </w:r>
      <w:r w:rsidR="001A7529" w:rsidRPr="007C56DF">
        <w:rPr>
          <w:rFonts w:ascii="Times New Roman" w:hAnsi="Times New Roman" w:cs="Times New Roman"/>
        </w:rPr>
        <w:t xml:space="preserve"> such as </w:t>
      </w:r>
      <w:r w:rsidRPr="007C56DF">
        <w:rPr>
          <w:rFonts w:ascii="Times New Roman" w:hAnsi="Times New Roman" w:cs="Times New Roman"/>
        </w:rPr>
        <w:t>n</w:t>
      </w:r>
      <w:r w:rsidR="00002863" w:rsidRPr="007C56DF">
        <w:rPr>
          <w:rFonts w:ascii="Times New Roman" w:hAnsi="Times New Roman" w:cs="Times New Roman"/>
        </w:rPr>
        <w:t xml:space="preserve">onprofit organizations, </w:t>
      </w:r>
      <w:r w:rsidR="00967D46" w:rsidRPr="007C56DF">
        <w:rPr>
          <w:rFonts w:ascii="Times New Roman" w:hAnsi="Times New Roman" w:cs="Times New Roman"/>
        </w:rPr>
        <w:t>local education agencies (</w:t>
      </w:r>
      <w:r w:rsidR="00002863" w:rsidRPr="007C56DF">
        <w:rPr>
          <w:rFonts w:ascii="Times New Roman" w:hAnsi="Times New Roman" w:cs="Times New Roman"/>
        </w:rPr>
        <w:t>LEAs</w:t>
      </w:r>
      <w:r w:rsidR="00967D46" w:rsidRPr="007C56DF">
        <w:rPr>
          <w:rFonts w:ascii="Times New Roman" w:hAnsi="Times New Roman" w:cs="Times New Roman"/>
        </w:rPr>
        <w:t>)</w:t>
      </w:r>
      <w:r w:rsidR="00002863" w:rsidRPr="007C56DF">
        <w:rPr>
          <w:rFonts w:ascii="Times New Roman" w:hAnsi="Times New Roman" w:cs="Times New Roman"/>
        </w:rPr>
        <w:t xml:space="preserve">, and </w:t>
      </w:r>
      <w:r w:rsidR="00967D46" w:rsidRPr="007C56DF">
        <w:rPr>
          <w:rFonts w:ascii="Times New Roman" w:hAnsi="Times New Roman" w:cs="Times New Roman"/>
        </w:rPr>
        <w:t>institutions of higher education (</w:t>
      </w:r>
      <w:r w:rsidR="00002863" w:rsidRPr="007C56DF">
        <w:rPr>
          <w:rFonts w:ascii="Times New Roman" w:hAnsi="Times New Roman" w:cs="Times New Roman"/>
        </w:rPr>
        <w:t>IHEs</w:t>
      </w:r>
      <w:r w:rsidR="00967D46" w:rsidRPr="007C56DF">
        <w:rPr>
          <w:rFonts w:ascii="Times New Roman" w:hAnsi="Times New Roman" w:cs="Times New Roman"/>
        </w:rPr>
        <w:t>)</w:t>
      </w:r>
      <w:r w:rsidR="00002863" w:rsidRPr="007C56DF">
        <w:rPr>
          <w:rFonts w:ascii="Times New Roman" w:hAnsi="Times New Roman" w:cs="Times New Roman"/>
        </w:rPr>
        <w:t xml:space="preserve">.  </w:t>
      </w:r>
      <w:r w:rsidR="00E06111" w:rsidRPr="007C56DF">
        <w:rPr>
          <w:rFonts w:ascii="Times New Roman" w:hAnsi="Times New Roman" w:cs="Times New Roman"/>
        </w:rPr>
        <w:t>However, r</w:t>
      </w:r>
      <w:r w:rsidR="00967D46" w:rsidRPr="007C56DF">
        <w:rPr>
          <w:rFonts w:ascii="Times New Roman" w:hAnsi="Times New Roman" w:cs="Times New Roman"/>
        </w:rPr>
        <w:t>ecent figures suggest that between</w:t>
      </w:r>
      <w:r w:rsidR="00002863" w:rsidRPr="007C56DF">
        <w:rPr>
          <w:rFonts w:ascii="Times New Roman" w:hAnsi="Times New Roman" w:cs="Times New Roman"/>
        </w:rPr>
        <w:t xml:space="preserve"> 61% to almost </w:t>
      </w:r>
      <w:r w:rsidR="00680B7C" w:rsidRPr="007C56DF">
        <w:rPr>
          <w:rFonts w:ascii="Times New Roman" w:hAnsi="Times New Roman" w:cs="Times New Roman"/>
        </w:rPr>
        <w:t>92</w:t>
      </w:r>
      <w:r w:rsidR="00002863" w:rsidRPr="007C56DF">
        <w:rPr>
          <w:rFonts w:ascii="Times New Roman" w:hAnsi="Times New Roman" w:cs="Times New Roman"/>
        </w:rPr>
        <w:t xml:space="preserve">% of all teachers in the </w:t>
      </w:r>
      <w:r w:rsidR="00933F77" w:rsidRPr="007C56DF">
        <w:rPr>
          <w:rFonts w:ascii="Times New Roman" w:hAnsi="Times New Roman" w:cs="Times New Roman"/>
        </w:rPr>
        <w:t>U.S.</w:t>
      </w:r>
      <w:r w:rsidR="00E06111" w:rsidRPr="007C56DF">
        <w:rPr>
          <w:rFonts w:ascii="Times New Roman" w:hAnsi="Times New Roman" w:cs="Times New Roman"/>
        </w:rPr>
        <w:t xml:space="preserve"> still</w:t>
      </w:r>
      <w:r w:rsidR="00002863" w:rsidRPr="007C56DF">
        <w:rPr>
          <w:rFonts w:ascii="Times New Roman" w:hAnsi="Times New Roman" w:cs="Times New Roman"/>
        </w:rPr>
        <w:t xml:space="preserve"> go through a university sponsored preparation program</w:t>
      </w:r>
      <w:r w:rsidR="006478D3" w:rsidRPr="007C56DF">
        <w:rPr>
          <w:rFonts w:ascii="Times New Roman" w:hAnsi="Times New Roman" w:cs="Times New Roman"/>
        </w:rPr>
        <w:t xml:space="preserve"> (Kee, 2012</w:t>
      </w:r>
      <w:r w:rsidR="001562CE" w:rsidRPr="007C56DF">
        <w:rPr>
          <w:rFonts w:ascii="Times New Roman" w:hAnsi="Times New Roman" w:cs="Times New Roman"/>
        </w:rPr>
        <w:t xml:space="preserve">; </w:t>
      </w:r>
      <w:r w:rsidR="00680B7C" w:rsidRPr="007C56DF">
        <w:rPr>
          <w:rFonts w:ascii="Times New Roman" w:hAnsi="Times New Roman" w:cs="Times New Roman"/>
        </w:rPr>
        <w:t>Zeichner, Payne, &amp; Brayko, 2012</w:t>
      </w:r>
      <w:r w:rsidR="006478D3" w:rsidRPr="007C56DF">
        <w:rPr>
          <w:rFonts w:ascii="Times New Roman" w:hAnsi="Times New Roman" w:cs="Times New Roman"/>
        </w:rPr>
        <w:t>)</w:t>
      </w:r>
      <w:r w:rsidR="00002863" w:rsidRPr="007C56DF">
        <w:rPr>
          <w:rFonts w:ascii="Times New Roman" w:hAnsi="Times New Roman" w:cs="Times New Roman"/>
        </w:rPr>
        <w:t>.</w:t>
      </w:r>
      <w:r w:rsidR="00967D46" w:rsidRPr="007C56DF">
        <w:rPr>
          <w:rFonts w:ascii="Times New Roman" w:hAnsi="Times New Roman" w:cs="Times New Roman"/>
        </w:rPr>
        <w:t xml:space="preserve">  In some cases, these programs are billed as alternative tracks to licensure, such as Teach for America, but are managed and operated locally by universities who also use a number of other tracks to licensure and degrees.  </w:t>
      </w:r>
    </w:p>
    <w:p w14:paraId="197F52F5" w14:textId="3ABD7F6A" w:rsidR="00E06111" w:rsidRPr="007C56DF" w:rsidRDefault="00884D60" w:rsidP="007C56DF">
      <w:pPr>
        <w:rPr>
          <w:rFonts w:ascii="Times New Roman" w:hAnsi="Times New Roman" w:cs="Times New Roman"/>
        </w:rPr>
      </w:pPr>
      <w:r w:rsidRPr="007C56DF">
        <w:rPr>
          <w:rFonts w:ascii="Times New Roman" w:hAnsi="Times New Roman" w:cs="Times New Roman"/>
        </w:rPr>
        <w:t>T</w:t>
      </w:r>
      <w:r w:rsidR="00002863" w:rsidRPr="007C56DF">
        <w:rPr>
          <w:rFonts w:ascii="Times New Roman" w:hAnsi="Times New Roman" w:cs="Times New Roman"/>
        </w:rPr>
        <w:t>eachers need to come equipped to their first job prepared to learn on a continual basis</w:t>
      </w:r>
      <w:r w:rsidR="0083293E" w:rsidRPr="007C56DF">
        <w:rPr>
          <w:rFonts w:ascii="Times New Roman" w:hAnsi="Times New Roman" w:cs="Times New Roman"/>
        </w:rPr>
        <w:t>,</w:t>
      </w:r>
      <w:r w:rsidR="00002863" w:rsidRPr="007C56DF">
        <w:rPr>
          <w:rFonts w:ascii="Times New Roman" w:hAnsi="Times New Roman" w:cs="Times New Roman"/>
        </w:rPr>
        <w:t xml:space="preserve"> not to survive</w:t>
      </w:r>
      <w:r w:rsidR="0057780A" w:rsidRPr="007C56DF">
        <w:rPr>
          <w:rFonts w:ascii="Times New Roman" w:hAnsi="Times New Roman" w:cs="Times New Roman"/>
        </w:rPr>
        <w:t>,</w:t>
      </w:r>
      <w:r w:rsidR="00002863" w:rsidRPr="007C56DF">
        <w:rPr>
          <w:rFonts w:ascii="Times New Roman" w:hAnsi="Times New Roman" w:cs="Times New Roman"/>
        </w:rPr>
        <w:t xml:space="preserve"> but to thrive and contribute to the knowledge</w:t>
      </w:r>
      <w:r w:rsidR="006D5A6E" w:rsidRPr="007C56DF">
        <w:rPr>
          <w:rFonts w:ascii="Times New Roman" w:hAnsi="Times New Roman" w:cs="Times New Roman"/>
        </w:rPr>
        <w:t xml:space="preserve"> and evidence-based practice </w:t>
      </w:r>
      <w:r w:rsidR="00002863" w:rsidRPr="007C56DF">
        <w:rPr>
          <w:rFonts w:ascii="Times New Roman" w:hAnsi="Times New Roman" w:cs="Times New Roman"/>
        </w:rPr>
        <w:t xml:space="preserve">of the field.  </w:t>
      </w:r>
      <w:r w:rsidRPr="007C56DF">
        <w:rPr>
          <w:rFonts w:ascii="Times New Roman" w:hAnsi="Times New Roman" w:cs="Times New Roman"/>
        </w:rPr>
        <w:t xml:space="preserve">In this way, teachers themselves are practitioner scholars committed to understanding deeply how to scaffold and support the work of their students.  This requires not only the ability to gauge how students understand and solve tasks but also the capacity to interpret their approaches </w:t>
      </w:r>
      <w:r w:rsidRPr="007C56DF">
        <w:rPr>
          <w:rFonts w:ascii="Times New Roman" w:hAnsi="Times New Roman" w:cs="Times New Roman"/>
        </w:rPr>
        <w:lastRenderedPageBreak/>
        <w:t xml:space="preserve">to uncover information or skills that they may not have.  And, once learner needs are understood, teachers must be equipped to teach the unfamiliar, forgotten, or never taught skill, content, and/or disposition. The expectation is that programs produce teachers who are “safe to practice,” a term coined by Deborah Ball to mean that teachers who are able to practice effectively across a broad range of students and learning contexts and are likely to add value to what their students know and can do over the course of an academic year </w:t>
      </w:r>
      <w:r w:rsidRPr="007C56DF">
        <w:rPr>
          <w:rFonts w:ascii="Times New Roman" w:hAnsi="Times New Roman" w:cs="Times New Roman"/>
        </w:rPr>
        <w:fldChar w:fldCharType="begin"/>
      </w:r>
      <w:r w:rsidRPr="007C56DF">
        <w:rPr>
          <w:rFonts w:ascii="Times New Roman" w:hAnsi="Times New Roman" w:cs="Times New Roman"/>
        </w:rPr>
        <w:instrText xml:space="preserve"> ADDIN EN.CITE &lt;EndNote&gt;&lt;Cite&gt;&lt;Author&gt;Ball&lt;/Author&gt;&lt;Year&gt;2013&lt;/Year&gt;&lt;RecNum&gt;52&lt;/RecNum&gt;&lt;DisplayText&gt;(D. Ball, 2013)&lt;/DisplayText&gt;&lt;record&gt;&lt;rec-number&gt;52&lt;/rec-number&gt;&lt;foreign-keys&gt;&lt;key app="EN" db-id="2wssdxr0kxzv0fe0et5xetd1pwe2aa25erzt"&gt;52&lt;/key&gt;&lt;/foreign-keys&gt;&lt;ref-type name="Conference Paper"&gt;47&lt;/ref-type&gt;&lt;contributors&gt;&lt;authors&gt;&lt;author&gt;Ball, D.&lt;/author&gt;&lt;/authors&gt;&lt;/contributors&gt;&lt;titles&gt;&lt;title&gt;Safe to Practice as the standard for licensure&lt;/title&gt;&lt;secondary-title&gt;2013 National edTPA Implementation Conference&lt;/secondary-title&gt;&lt;/titles&gt;&lt;dates&gt;&lt;year&gt;2013&lt;/year&gt;&lt;pub-dates&gt;&lt;date&gt;November 1&lt;/date&gt;&lt;/pub-dates&gt;&lt;/dates&gt;&lt;pub-location&gt;San Diego, CA&lt;/pub-location&gt;&lt;urls&gt;&lt;/urls&gt;&lt;/record&gt;&lt;/Cite&gt;&lt;/EndNote&gt;</w:instrText>
      </w:r>
      <w:r w:rsidRPr="007C56DF">
        <w:rPr>
          <w:rFonts w:ascii="Times New Roman" w:hAnsi="Times New Roman" w:cs="Times New Roman"/>
        </w:rPr>
        <w:fldChar w:fldCharType="separate"/>
      </w:r>
      <w:r w:rsidRPr="007C56DF">
        <w:rPr>
          <w:rFonts w:ascii="Times New Roman" w:hAnsi="Times New Roman" w:cs="Times New Roman"/>
          <w:noProof/>
        </w:rPr>
        <w:t>(</w:t>
      </w:r>
      <w:hyperlink w:anchor="_ENREF_1" w:tooltip="Ball, 2013 #52" w:history="1">
        <w:r w:rsidRPr="007C56DF">
          <w:rPr>
            <w:rFonts w:ascii="Times New Roman" w:hAnsi="Times New Roman" w:cs="Times New Roman"/>
            <w:noProof/>
          </w:rPr>
          <w:t>Ball, 2013</w:t>
        </w:r>
      </w:hyperlink>
      <w:r w:rsidRPr="007C56DF">
        <w:rPr>
          <w:rFonts w:ascii="Times New Roman" w:hAnsi="Times New Roman" w:cs="Times New Roman"/>
          <w:noProof/>
        </w:rPr>
        <w:t>)</w:t>
      </w:r>
      <w:r w:rsidRPr="007C56DF">
        <w:rPr>
          <w:rFonts w:ascii="Times New Roman" w:hAnsi="Times New Roman" w:cs="Times New Roman"/>
        </w:rPr>
        <w:fldChar w:fldCharType="end"/>
      </w:r>
      <w:r w:rsidRPr="007C56DF">
        <w:rPr>
          <w:rFonts w:ascii="Times New Roman" w:hAnsi="Times New Roman" w:cs="Times New Roman"/>
        </w:rPr>
        <w:t>.  There is general agreement that what safe to practice means should be consistent between teachers so that the programs that graduate teachers share a set of common standards established generally by the teaching profession, even though teachers may come from different states and have different pathways into teaching.   However, t</w:t>
      </w:r>
      <w:r w:rsidR="00F07DE8" w:rsidRPr="007C56DF">
        <w:rPr>
          <w:rFonts w:ascii="Times New Roman" w:hAnsi="Times New Roman" w:cs="Times New Roman"/>
        </w:rPr>
        <w:t>eachers report different levels of confidence in their abilities to practice effectively.  These differences are linked to the kinds of prepar</w:t>
      </w:r>
      <w:r w:rsidR="006D5A6E" w:rsidRPr="007C56DF">
        <w:rPr>
          <w:rFonts w:ascii="Times New Roman" w:hAnsi="Times New Roman" w:cs="Times New Roman"/>
        </w:rPr>
        <w:t>ation experiences they have and, particularly, to the practice experiences</w:t>
      </w:r>
      <w:r w:rsidR="00F07DE8" w:rsidRPr="007C56DF">
        <w:rPr>
          <w:rFonts w:ascii="Times New Roman" w:hAnsi="Times New Roman" w:cs="Times New Roman"/>
        </w:rPr>
        <w:t xml:space="preserve"> they have (</w:t>
      </w:r>
      <w:r w:rsidR="006D5A6E" w:rsidRPr="007C56DF">
        <w:rPr>
          <w:rFonts w:ascii="Times New Roman" w:hAnsi="Times New Roman" w:cs="Times New Roman"/>
        </w:rPr>
        <w:t xml:space="preserve">Boyd, Grossman, Lankford, Loeb, &amp; Wyckoff, 2009; </w:t>
      </w:r>
      <w:r w:rsidR="00F07DE8" w:rsidRPr="007C56DF">
        <w:rPr>
          <w:rFonts w:ascii="Times New Roman" w:hAnsi="Times New Roman" w:cs="Times New Roman"/>
        </w:rPr>
        <w:t xml:space="preserve">Kee, 2012).  </w:t>
      </w:r>
    </w:p>
    <w:p w14:paraId="53BFBE55" w14:textId="7253CA3B" w:rsidR="00F07DE8" w:rsidRPr="007C56DF" w:rsidRDefault="00E06111" w:rsidP="007C56DF">
      <w:pPr>
        <w:rPr>
          <w:rFonts w:ascii="Times New Roman" w:hAnsi="Times New Roman" w:cs="Times New Roman"/>
        </w:rPr>
      </w:pPr>
      <w:r w:rsidRPr="007C56DF">
        <w:rPr>
          <w:rFonts w:ascii="Times New Roman" w:hAnsi="Times New Roman" w:cs="Times New Roman"/>
        </w:rPr>
        <w:t>It is reasonable to assume that t</w:t>
      </w:r>
      <w:r w:rsidR="00086250" w:rsidRPr="007C56DF">
        <w:rPr>
          <w:rFonts w:ascii="Times New Roman" w:hAnsi="Times New Roman" w:cs="Times New Roman"/>
        </w:rPr>
        <w:t>he quality of a state’s teaching force should impact the outcomes of student performance by state.</w:t>
      </w:r>
      <w:r w:rsidR="00A54118" w:rsidRPr="007C56DF">
        <w:rPr>
          <w:rFonts w:ascii="Times New Roman" w:hAnsi="Times New Roman" w:cs="Times New Roman"/>
        </w:rPr>
        <w:t xml:space="preserve">  </w:t>
      </w:r>
      <w:r w:rsidRPr="007C56DF">
        <w:rPr>
          <w:rFonts w:ascii="Times New Roman" w:hAnsi="Times New Roman" w:cs="Times New Roman"/>
        </w:rPr>
        <w:t xml:space="preserve">Yet, our systems of teacher preparation are still honing </w:t>
      </w:r>
      <w:r w:rsidR="006B4BE8" w:rsidRPr="007C56DF">
        <w:rPr>
          <w:rFonts w:ascii="Times New Roman" w:hAnsi="Times New Roman" w:cs="Times New Roman"/>
        </w:rPr>
        <w:t xml:space="preserve">in </w:t>
      </w:r>
      <w:r w:rsidRPr="007C56DF">
        <w:rPr>
          <w:rFonts w:ascii="Times New Roman" w:hAnsi="Times New Roman" w:cs="Times New Roman"/>
        </w:rPr>
        <w:t xml:space="preserve">on what the critical components of a preparation program might be.  </w:t>
      </w:r>
      <w:r w:rsidR="00A54118" w:rsidRPr="007C56DF">
        <w:rPr>
          <w:rFonts w:ascii="Times New Roman" w:hAnsi="Times New Roman" w:cs="Times New Roman"/>
        </w:rPr>
        <w:t>On the 2009 National Assessment of Educational Progress (NAEP), only 33% of U. S. 8</w:t>
      </w:r>
      <w:r w:rsidR="00A54118" w:rsidRPr="007C56DF">
        <w:rPr>
          <w:rFonts w:ascii="Times New Roman" w:hAnsi="Times New Roman" w:cs="Times New Roman"/>
          <w:vertAlign w:val="superscript"/>
        </w:rPr>
        <w:t>th</w:t>
      </w:r>
      <w:r w:rsidR="00A54118" w:rsidRPr="007C56DF">
        <w:rPr>
          <w:rFonts w:ascii="Times New Roman" w:hAnsi="Times New Roman" w:cs="Times New Roman"/>
        </w:rPr>
        <w:t xml:space="preserve"> graders scored proficient or above in mathematics</w:t>
      </w:r>
      <w:r w:rsidRPr="007C56DF">
        <w:rPr>
          <w:rFonts w:ascii="Times New Roman" w:hAnsi="Times New Roman" w:cs="Times New Roman"/>
        </w:rPr>
        <w:t xml:space="preserve"> (</w:t>
      </w:r>
      <w:r w:rsidR="00EE06E6" w:rsidRPr="007C56DF">
        <w:rPr>
          <w:rFonts w:ascii="Times New Roman" w:hAnsi="Times New Roman" w:cs="Times New Roman"/>
        </w:rPr>
        <w:t>Vanneman, Hamilton, Baldwin Anderson, &amp; Rahman, 2009</w:t>
      </w:r>
      <w:r w:rsidRPr="007C56DF">
        <w:rPr>
          <w:rFonts w:ascii="Times New Roman" w:hAnsi="Times New Roman" w:cs="Times New Roman"/>
        </w:rPr>
        <w:t>)</w:t>
      </w:r>
      <w:r w:rsidR="00A54118" w:rsidRPr="007C56DF">
        <w:rPr>
          <w:rFonts w:ascii="Times New Roman" w:hAnsi="Times New Roman" w:cs="Times New Roman"/>
        </w:rPr>
        <w:t>.  The range was</w:t>
      </w:r>
      <w:r w:rsidRPr="007C56DF">
        <w:rPr>
          <w:rFonts w:ascii="Times New Roman" w:hAnsi="Times New Roman" w:cs="Times New Roman"/>
        </w:rPr>
        <w:t xml:space="preserve"> from 15% (in Mississippi) </w:t>
      </w:r>
      <w:r w:rsidR="00A54118" w:rsidRPr="007C56DF">
        <w:rPr>
          <w:rFonts w:ascii="Times New Roman" w:hAnsi="Times New Roman" w:cs="Times New Roman"/>
        </w:rPr>
        <w:t xml:space="preserve">to </w:t>
      </w:r>
      <w:r w:rsidRPr="007C56DF">
        <w:rPr>
          <w:rFonts w:ascii="Times New Roman" w:hAnsi="Times New Roman" w:cs="Times New Roman"/>
        </w:rPr>
        <w:t>53% (in Massachusetts)</w:t>
      </w:r>
      <w:r w:rsidR="00A54118" w:rsidRPr="007C56DF">
        <w:rPr>
          <w:rFonts w:ascii="Times New Roman" w:hAnsi="Times New Roman" w:cs="Times New Roman"/>
        </w:rPr>
        <w:t>.  The licensure standards for both states are not dissimilar.  In Massachusetts, an initial license is granted to individuals with bachelor’s degrees, who passed content knowledge and pedagogy tests called the Praxis I and II, and successfully completed at least 10 weeks of student teaching.  Mississippi offers initia</w:t>
      </w:r>
      <w:r w:rsidRPr="007C56DF">
        <w:rPr>
          <w:rFonts w:ascii="Times New Roman" w:hAnsi="Times New Roman" w:cs="Times New Roman"/>
        </w:rPr>
        <w:t xml:space="preserve">l licensure to individuals who complete Praxis I, II, and II (content area), have 12 weeks of student teaching, </w:t>
      </w:r>
      <w:r w:rsidRPr="007C56DF">
        <w:rPr>
          <w:rFonts w:ascii="Times New Roman" w:hAnsi="Times New Roman" w:cs="Times New Roman"/>
        </w:rPr>
        <w:lastRenderedPageBreak/>
        <w:t xml:space="preserve">and have a bachelor’s degree.  Some mix of variables produces the differences in student outcomes.  </w:t>
      </w:r>
      <w:r w:rsidR="006B4BE8" w:rsidRPr="007C56DF">
        <w:rPr>
          <w:rFonts w:ascii="Times New Roman" w:hAnsi="Times New Roman" w:cs="Times New Roman"/>
        </w:rPr>
        <w:t xml:space="preserve">Universities in both states participate in </w:t>
      </w:r>
      <w:r w:rsidR="009F394D" w:rsidRPr="007C56DF">
        <w:rPr>
          <w:rFonts w:ascii="Times New Roman" w:hAnsi="Times New Roman" w:cs="Times New Roman"/>
        </w:rPr>
        <w:t xml:space="preserve">the same </w:t>
      </w:r>
      <w:r w:rsidR="006B4BE8" w:rsidRPr="007C56DF">
        <w:rPr>
          <w:rFonts w:ascii="Times New Roman" w:hAnsi="Times New Roman" w:cs="Times New Roman"/>
        </w:rPr>
        <w:t>external accreditation of their teacher education programs, ten in Mississippi and seven in Massachusetts.  While a single test should not be a determinant</w:t>
      </w:r>
      <w:r w:rsidR="0083293E" w:rsidRPr="007C56DF">
        <w:rPr>
          <w:rFonts w:ascii="Times New Roman" w:hAnsi="Times New Roman" w:cs="Times New Roman"/>
        </w:rPr>
        <w:t xml:space="preserve"> of individual student progress</w:t>
      </w:r>
      <w:r w:rsidR="006B4BE8" w:rsidRPr="007C56DF">
        <w:rPr>
          <w:rFonts w:ascii="Times New Roman" w:hAnsi="Times New Roman" w:cs="Times New Roman"/>
        </w:rPr>
        <w:t xml:space="preserve"> or the determining factor of the success of a state’s system of P-12 education, it is instructive to look at the multiple variables that could affect </w:t>
      </w:r>
      <w:r w:rsidR="00517FE1" w:rsidRPr="007C56DF">
        <w:rPr>
          <w:rFonts w:ascii="Times New Roman" w:hAnsi="Times New Roman" w:cs="Times New Roman"/>
        </w:rPr>
        <w:t>teacher quality</w:t>
      </w:r>
      <w:r w:rsidR="006D5A6E" w:rsidRPr="007C56DF">
        <w:rPr>
          <w:rFonts w:ascii="Times New Roman" w:hAnsi="Times New Roman" w:cs="Times New Roman"/>
        </w:rPr>
        <w:t xml:space="preserve"> (</w:t>
      </w:r>
      <w:r w:rsidR="003A02FE" w:rsidRPr="007C56DF">
        <w:rPr>
          <w:rFonts w:ascii="Times New Roman" w:hAnsi="Times New Roman" w:cs="Times New Roman"/>
        </w:rPr>
        <w:t>Darling-</w:t>
      </w:r>
      <w:r w:rsidR="006D5A6E" w:rsidRPr="007C56DF">
        <w:rPr>
          <w:rFonts w:ascii="Times New Roman" w:hAnsi="Times New Roman" w:cs="Times New Roman"/>
        </w:rPr>
        <w:t>Hammond, 2014)</w:t>
      </w:r>
      <w:r w:rsidR="0057780A" w:rsidRPr="007C56DF">
        <w:rPr>
          <w:rFonts w:ascii="Times New Roman" w:hAnsi="Times New Roman" w:cs="Times New Roman"/>
        </w:rPr>
        <w:t>.</w:t>
      </w:r>
    </w:p>
    <w:p w14:paraId="3EB34EE9" w14:textId="6CC8945A" w:rsidR="00611AAD" w:rsidRPr="007C56DF" w:rsidRDefault="00611AAD" w:rsidP="007C56DF">
      <w:pPr>
        <w:pStyle w:val="Heading2"/>
        <w:rPr>
          <w:rFonts w:ascii="Times New Roman" w:hAnsi="Times New Roman" w:cs="Times New Roman"/>
        </w:rPr>
      </w:pPr>
      <w:r w:rsidRPr="007C56DF">
        <w:rPr>
          <w:rFonts w:ascii="Times New Roman" w:hAnsi="Times New Roman" w:cs="Times New Roman"/>
        </w:rPr>
        <w:t>Systems of Educator Licensing</w:t>
      </w:r>
    </w:p>
    <w:p w14:paraId="46E12DFD" w14:textId="1729E484" w:rsidR="00E8385F" w:rsidRPr="007C56DF" w:rsidRDefault="00F07DE8" w:rsidP="007C56DF">
      <w:pPr>
        <w:rPr>
          <w:rFonts w:ascii="Times New Roman" w:hAnsi="Times New Roman" w:cs="Times New Roman"/>
        </w:rPr>
      </w:pPr>
      <w:r w:rsidRPr="007C56DF">
        <w:rPr>
          <w:rFonts w:ascii="Times New Roman" w:hAnsi="Times New Roman" w:cs="Times New Roman"/>
        </w:rPr>
        <w:t>The Council for the Accreditation of Educator Preparation (CAEP) offers one vehicle for externally validating the quality of educator preparation.</w:t>
      </w:r>
      <w:r w:rsidR="009F394D" w:rsidRPr="007C56DF">
        <w:rPr>
          <w:rFonts w:ascii="Times New Roman" w:hAnsi="Times New Roman" w:cs="Times New Roman"/>
        </w:rPr>
        <w:t xml:space="preserve">  CAEP standards were released in </w:t>
      </w:r>
      <w:r w:rsidR="0020653A" w:rsidRPr="007C56DF">
        <w:rPr>
          <w:rFonts w:ascii="Times New Roman" w:hAnsi="Times New Roman" w:cs="Times New Roman"/>
        </w:rPr>
        <w:t>August</w:t>
      </w:r>
      <w:r w:rsidR="009F394D" w:rsidRPr="007C56DF">
        <w:rPr>
          <w:rFonts w:ascii="Times New Roman" w:hAnsi="Times New Roman" w:cs="Times New Roman"/>
        </w:rPr>
        <w:t xml:space="preserve"> of 2013.  CAEP is intended to increase the rigor of external accreditation of teacher education programs.</w:t>
      </w:r>
      <w:r w:rsidRPr="007C56DF">
        <w:rPr>
          <w:rFonts w:ascii="Times New Roman" w:hAnsi="Times New Roman" w:cs="Times New Roman"/>
        </w:rPr>
        <w:t xml:space="preserve">  Programs that participate offer evidence of their ability to prepare teachers, using five standards:  (a) Content and Pedagogical Knowledge; (b) Clinical Partnerships and Practice; (c) Candidate Quality, Recruitment, and Selectivity; (d) Program Impact; and (e) Provider Quality Assurance and Continuous Improvement.  Together these standards form the basis of what</w:t>
      </w:r>
      <w:r w:rsidR="009E34DD" w:rsidRPr="007C56DF">
        <w:rPr>
          <w:rFonts w:ascii="Times New Roman" w:hAnsi="Times New Roman" w:cs="Times New Roman"/>
        </w:rPr>
        <w:t xml:space="preserve"> the teacher education field</w:t>
      </w:r>
      <w:r w:rsidRPr="007C56DF">
        <w:rPr>
          <w:rFonts w:ascii="Times New Roman" w:hAnsi="Times New Roman" w:cs="Times New Roman"/>
        </w:rPr>
        <w:t xml:space="preserve"> consider</w:t>
      </w:r>
      <w:r w:rsidR="009E34DD" w:rsidRPr="007C56DF">
        <w:rPr>
          <w:rFonts w:ascii="Times New Roman" w:hAnsi="Times New Roman" w:cs="Times New Roman"/>
        </w:rPr>
        <w:t xml:space="preserve">s </w:t>
      </w:r>
      <w:r w:rsidRPr="007C56DF">
        <w:rPr>
          <w:rFonts w:ascii="Times New Roman" w:hAnsi="Times New Roman" w:cs="Times New Roman"/>
        </w:rPr>
        <w:t xml:space="preserve">the elements of effective teacher education.  </w:t>
      </w:r>
    </w:p>
    <w:p w14:paraId="3B7E2FE5" w14:textId="3D304F94" w:rsidR="00E8385F" w:rsidRPr="007C56DF" w:rsidRDefault="00002863" w:rsidP="007C56DF">
      <w:pPr>
        <w:rPr>
          <w:rFonts w:ascii="Times New Roman" w:hAnsi="Times New Roman" w:cs="Times New Roman"/>
        </w:rPr>
      </w:pPr>
      <w:r w:rsidRPr="007C56DF">
        <w:rPr>
          <w:rFonts w:ascii="Times New Roman" w:hAnsi="Times New Roman" w:cs="Times New Roman"/>
        </w:rPr>
        <w:t xml:space="preserve">Programs that prepare educators </w:t>
      </w:r>
      <w:r w:rsidR="009E34DD" w:rsidRPr="007C56DF">
        <w:rPr>
          <w:rFonts w:ascii="Times New Roman" w:hAnsi="Times New Roman" w:cs="Times New Roman"/>
        </w:rPr>
        <w:t xml:space="preserve">can </w:t>
      </w:r>
      <w:r w:rsidR="00E8385F" w:rsidRPr="007C56DF">
        <w:rPr>
          <w:rFonts w:ascii="Times New Roman" w:hAnsi="Times New Roman" w:cs="Times New Roman"/>
        </w:rPr>
        <w:t xml:space="preserve">voluntarily </w:t>
      </w:r>
      <w:r w:rsidR="009E34DD" w:rsidRPr="007C56DF">
        <w:rPr>
          <w:rFonts w:ascii="Times New Roman" w:hAnsi="Times New Roman" w:cs="Times New Roman"/>
        </w:rPr>
        <w:t>participate in the CAEP process.  This allows expert teacher educators and practitioners</w:t>
      </w:r>
      <w:r w:rsidR="00611AAD" w:rsidRPr="007C56DF">
        <w:rPr>
          <w:rFonts w:ascii="Times New Roman" w:hAnsi="Times New Roman" w:cs="Times New Roman"/>
        </w:rPr>
        <w:t>, external to the organization under review,</w:t>
      </w:r>
      <w:r w:rsidR="009E34DD" w:rsidRPr="007C56DF">
        <w:rPr>
          <w:rFonts w:ascii="Times New Roman" w:hAnsi="Times New Roman" w:cs="Times New Roman"/>
        </w:rPr>
        <w:t xml:space="preserve"> to </w:t>
      </w:r>
      <w:r w:rsidR="00611AAD" w:rsidRPr="007C56DF">
        <w:rPr>
          <w:rFonts w:ascii="Times New Roman" w:hAnsi="Times New Roman" w:cs="Times New Roman"/>
        </w:rPr>
        <w:t>examine</w:t>
      </w:r>
      <w:r w:rsidR="009E34DD" w:rsidRPr="007C56DF">
        <w:rPr>
          <w:rFonts w:ascii="Times New Roman" w:hAnsi="Times New Roman" w:cs="Times New Roman"/>
        </w:rPr>
        <w:t xml:space="preserve"> existing programs and identify potential areas for improvement, redesign, and development.   U</w:t>
      </w:r>
      <w:r w:rsidR="000D0E6D" w:rsidRPr="007C56DF">
        <w:rPr>
          <w:rFonts w:ascii="Times New Roman" w:hAnsi="Times New Roman" w:cs="Times New Roman"/>
        </w:rPr>
        <w:t>s</w:t>
      </w:r>
      <w:r w:rsidR="00916238" w:rsidRPr="007C56DF">
        <w:rPr>
          <w:rFonts w:ascii="Times New Roman" w:hAnsi="Times New Roman" w:cs="Times New Roman"/>
        </w:rPr>
        <w:t>e of</w:t>
      </w:r>
      <w:r w:rsidR="000D0E6D" w:rsidRPr="007C56DF">
        <w:rPr>
          <w:rFonts w:ascii="Times New Roman" w:hAnsi="Times New Roman" w:cs="Times New Roman"/>
        </w:rPr>
        <w:t xml:space="preserve"> a standard protocol </w:t>
      </w:r>
      <w:r w:rsidR="009E34DD" w:rsidRPr="007C56DF">
        <w:rPr>
          <w:rFonts w:ascii="Times New Roman" w:hAnsi="Times New Roman" w:cs="Times New Roman"/>
        </w:rPr>
        <w:t xml:space="preserve">based on agreed upon standards </w:t>
      </w:r>
      <w:r w:rsidR="00611AAD" w:rsidRPr="007C56DF">
        <w:rPr>
          <w:rFonts w:ascii="Times New Roman" w:hAnsi="Times New Roman" w:cs="Times New Roman"/>
        </w:rPr>
        <w:t>ideally</w:t>
      </w:r>
      <w:r w:rsidR="009E34DD" w:rsidRPr="007C56DF">
        <w:rPr>
          <w:rFonts w:ascii="Times New Roman" w:hAnsi="Times New Roman" w:cs="Times New Roman"/>
        </w:rPr>
        <w:t xml:space="preserve"> help</w:t>
      </w:r>
      <w:r w:rsidR="00916238" w:rsidRPr="007C56DF">
        <w:rPr>
          <w:rFonts w:ascii="Times New Roman" w:hAnsi="Times New Roman" w:cs="Times New Roman"/>
        </w:rPr>
        <w:t>s</w:t>
      </w:r>
      <w:r w:rsidR="009E34DD" w:rsidRPr="007C56DF">
        <w:rPr>
          <w:rFonts w:ascii="Times New Roman" w:hAnsi="Times New Roman" w:cs="Times New Roman"/>
        </w:rPr>
        <w:t xml:space="preserve"> to</w:t>
      </w:r>
      <w:r w:rsidR="000D0E6D" w:rsidRPr="007C56DF">
        <w:rPr>
          <w:rFonts w:ascii="Times New Roman" w:hAnsi="Times New Roman" w:cs="Times New Roman"/>
        </w:rPr>
        <w:t xml:space="preserve"> determine the quality of the program and whether it is able to sustain the production of high quality teachers over time. </w:t>
      </w:r>
      <w:r w:rsidR="009E34DD" w:rsidRPr="007C56DF">
        <w:rPr>
          <w:rFonts w:ascii="Times New Roman" w:hAnsi="Times New Roman" w:cs="Times New Roman"/>
        </w:rPr>
        <w:t xml:space="preserve"> However, this type of external program evaluation has existed for a number years.  This most recent iteration places a heavier emphasis on outcomes of the program </w:t>
      </w:r>
      <w:r w:rsidR="009E34DD" w:rsidRPr="007C56DF">
        <w:rPr>
          <w:rFonts w:ascii="Times New Roman" w:hAnsi="Times New Roman" w:cs="Times New Roman"/>
        </w:rPr>
        <w:lastRenderedPageBreak/>
        <w:t xml:space="preserve">rather than processes.  Whether there is a difference in teacher quality from institutions that participate in CAEP remains to be seen.  </w:t>
      </w:r>
    </w:p>
    <w:p w14:paraId="7EDF0B55" w14:textId="73003556" w:rsidR="009E34DD" w:rsidRPr="007C56DF" w:rsidRDefault="009E34DD" w:rsidP="007C56DF">
      <w:pPr>
        <w:rPr>
          <w:rFonts w:ascii="Times New Roman" w:hAnsi="Times New Roman" w:cs="Times New Roman"/>
        </w:rPr>
      </w:pPr>
      <w:r w:rsidRPr="007C56DF">
        <w:rPr>
          <w:rFonts w:ascii="Times New Roman" w:hAnsi="Times New Roman" w:cs="Times New Roman"/>
        </w:rPr>
        <w:t xml:space="preserve">For the purposes of students with disabilities, it is notable that CAEP defines P-12 students “as children or youth attending P-12 schools including, but not limited to, students with </w:t>
      </w:r>
      <w:r w:rsidRPr="007C56DF">
        <w:rPr>
          <w:rFonts w:ascii="Times New Roman" w:hAnsi="Times New Roman" w:cs="Times New Roman"/>
          <w:i/>
        </w:rPr>
        <w:t>disabilities or exceptionalities</w:t>
      </w:r>
      <w:r w:rsidRPr="007C56DF">
        <w:rPr>
          <w:rFonts w:ascii="Times New Roman" w:hAnsi="Times New Roman" w:cs="Times New Roman"/>
        </w:rPr>
        <w:t xml:space="preserve">, students who are gifted, and students who represent diversity based on ethnicity, race, socioeconomic status, gender, language, religion, sexual identification, ad/or geographic origin (p. 3, CAEP Standards, 2013).”   </w:t>
      </w:r>
      <w:r w:rsidR="00611AAD" w:rsidRPr="007C56DF">
        <w:rPr>
          <w:rFonts w:ascii="Times New Roman" w:hAnsi="Times New Roman" w:cs="Times New Roman"/>
        </w:rPr>
        <w:t>Ensuring that students with disabilities are part of the general population of students to be taught signals a new understanding of the diversity</w:t>
      </w:r>
      <w:r w:rsidR="00BC68C9" w:rsidRPr="007C56DF">
        <w:rPr>
          <w:rFonts w:ascii="Times New Roman" w:hAnsi="Times New Roman" w:cs="Times New Roman"/>
        </w:rPr>
        <w:t xml:space="preserve"> existing within</w:t>
      </w:r>
      <w:r w:rsidR="00611AAD" w:rsidRPr="007C56DF">
        <w:rPr>
          <w:rFonts w:ascii="Times New Roman" w:hAnsi="Times New Roman" w:cs="Times New Roman"/>
        </w:rPr>
        <w:t xml:space="preserve"> the nation’s classrooms.</w:t>
      </w:r>
      <w:r w:rsidR="00BC68C9" w:rsidRPr="007C56DF">
        <w:rPr>
          <w:rFonts w:ascii="Times New Roman" w:hAnsi="Times New Roman" w:cs="Times New Roman"/>
        </w:rPr>
        <w:t xml:space="preserve">  It also highlights the importance of teacher preparation that incorporates knowledge building and supported practice in the assessments, designs, and instructional practices that support student learning at different paces, different points of entry, and different coaching scaffolds for mastery.</w:t>
      </w:r>
    </w:p>
    <w:p w14:paraId="35CBE6DF" w14:textId="76E0F9D0" w:rsidR="00E8385F" w:rsidRPr="007C56DF" w:rsidRDefault="00F62205" w:rsidP="007C56DF">
      <w:pPr>
        <w:rPr>
          <w:rFonts w:ascii="Times New Roman" w:hAnsi="Times New Roman" w:cs="Times New Roman"/>
        </w:rPr>
      </w:pPr>
      <w:r w:rsidRPr="007C56DF">
        <w:rPr>
          <w:rFonts w:ascii="Times New Roman" w:hAnsi="Times New Roman" w:cs="Times New Roman"/>
        </w:rPr>
        <w:t>In addition to the standards that CAEP subscribes to in terms of assuring the quality of teacher preparation, the Council of Chief State School Officers (</w:t>
      </w:r>
      <w:r w:rsidR="000D0E6D" w:rsidRPr="007C56DF">
        <w:rPr>
          <w:rFonts w:ascii="Times New Roman" w:hAnsi="Times New Roman" w:cs="Times New Roman"/>
        </w:rPr>
        <w:t>C</w:t>
      </w:r>
      <w:r w:rsidRPr="007C56DF">
        <w:rPr>
          <w:rFonts w:ascii="Times New Roman" w:hAnsi="Times New Roman" w:cs="Times New Roman"/>
        </w:rPr>
        <w:t>C</w:t>
      </w:r>
      <w:r w:rsidR="000D0E6D" w:rsidRPr="007C56DF">
        <w:rPr>
          <w:rFonts w:ascii="Times New Roman" w:hAnsi="Times New Roman" w:cs="Times New Roman"/>
        </w:rPr>
        <w:t>SSO</w:t>
      </w:r>
      <w:r w:rsidRPr="007C56DF">
        <w:rPr>
          <w:rFonts w:ascii="Times New Roman" w:hAnsi="Times New Roman" w:cs="Times New Roman"/>
        </w:rPr>
        <w:t>) developed a set of standards for the licensure of teachers that have been adopted by</w:t>
      </w:r>
      <w:r w:rsidR="009F394D" w:rsidRPr="007C56DF">
        <w:rPr>
          <w:rFonts w:ascii="Times New Roman" w:hAnsi="Times New Roman" w:cs="Times New Roman"/>
        </w:rPr>
        <w:t xml:space="preserve"> a majority of states</w:t>
      </w:r>
      <w:r w:rsidRPr="007C56DF">
        <w:rPr>
          <w:rFonts w:ascii="Times New Roman" w:hAnsi="Times New Roman" w:cs="Times New Roman"/>
        </w:rPr>
        <w:t xml:space="preserve">.  The CCSSO is a non-profit member-based organization that represents public officials who lead departments of elementary and secondary education in the 50 states as well as the District of Columbia, the Department of Defense, and five U.S. extra-state territories.   </w:t>
      </w:r>
      <w:r w:rsidR="00D50E87" w:rsidRPr="007C56DF">
        <w:rPr>
          <w:rFonts w:ascii="Times New Roman" w:hAnsi="Times New Roman" w:cs="Times New Roman"/>
        </w:rPr>
        <w:t>The Interstate New Teacher Assessment and Support Consortium (I</w:t>
      </w:r>
      <w:r w:rsidR="0020653A" w:rsidRPr="007C56DF">
        <w:rPr>
          <w:rFonts w:ascii="Times New Roman" w:hAnsi="Times New Roman" w:cs="Times New Roman"/>
        </w:rPr>
        <w:t>n</w:t>
      </w:r>
      <w:r w:rsidR="00D50E87" w:rsidRPr="007C56DF">
        <w:rPr>
          <w:rFonts w:ascii="Times New Roman" w:hAnsi="Times New Roman" w:cs="Times New Roman"/>
        </w:rPr>
        <w:t>TASC)</w:t>
      </w:r>
      <w:r w:rsidR="00E8385F" w:rsidRPr="007C56DF">
        <w:rPr>
          <w:rFonts w:ascii="Times New Roman" w:hAnsi="Times New Roman" w:cs="Times New Roman"/>
        </w:rPr>
        <w:t xml:space="preserve"> (CCSSO, 2011)</w:t>
      </w:r>
      <w:r w:rsidR="00D50E87" w:rsidRPr="007C56DF">
        <w:rPr>
          <w:rFonts w:ascii="Times New Roman" w:hAnsi="Times New Roman" w:cs="Times New Roman"/>
        </w:rPr>
        <w:t xml:space="preserve">, offers a set of standards that describes the work of teaching.  These standards represent the consensus of a number of expert scholars, researchers, practitioners, and policy makers.  They help state and district leaders focus attention on a number of key indicators of effective teaching that produces high quality learning on the part of students.  </w:t>
      </w:r>
    </w:p>
    <w:p w14:paraId="1A5F191A" w14:textId="77777777" w:rsidR="00E8385F" w:rsidRPr="007C56DF" w:rsidRDefault="00D50E87" w:rsidP="007C56DF">
      <w:pPr>
        <w:rPr>
          <w:rFonts w:ascii="Times New Roman" w:hAnsi="Times New Roman" w:cs="Times New Roman"/>
        </w:rPr>
      </w:pPr>
      <w:r w:rsidRPr="007C56DF">
        <w:rPr>
          <w:rFonts w:ascii="Times New Roman" w:hAnsi="Times New Roman" w:cs="Times New Roman"/>
        </w:rPr>
        <w:lastRenderedPageBreak/>
        <w:t>The 10 I</w:t>
      </w:r>
      <w:r w:rsidR="0020653A" w:rsidRPr="007C56DF">
        <w:rPr>
          <w:rFonts w:ascii="Times New Roman" w:hAnsi="Times New Roman" w:cs="Times New Roman"/>
        </w:rPr>
        <w:t>n</w:t>
      </w:r>
      <w:r w:rsidRPr="007C56DF">
        <w:rPr>
          <w:rFonts w:ascii="Times New Roman" w:hAnsi="Times New Roman" w:cs="Times New Roman"/>
        </w:rPr>
        <w:t xml:space="preserve">TASC standards focus on learner development, learning differences, learning environments, content knowledge and use, assessment, instructional planning and strategies, professional learning and ethical practice and leadership and collaboration (CCSSO, 2011).  </w:t>
      </w:r>
      <w:r w:rsidR="00E66555" w:rsidRPr="007C56DF">
        <w:rPr>
          <w:rFonts w:ascii="Times New Roman" w:hAnsi="Times New Roman" w:cs="Times New Roman"/>
        </w:rPr>
        <w:t xml:space="preserve">Students with disabilities are mentioned eight times in the teaching standards, including within a preamble on personalized learning for diverse students as well as in standards that address learning differences, assessment, and professional learning. </w:t>
      </w:r>
      <w:r w:rsidRPr="007C56DF">
        <w:rPr>
          <w:rFonts w:ascii="Times New Roman" w:hAnsi="Times New Roman" w:cs="Times New Roman"/>
        </w:rPr>
        <w:t xml:space="preserve">The </w:t>
      </w:r>
      <w:r w:rsidR="00E66555" w:rsidRPr="007C56DF">
        <w:rPr>
          <w:rFonts w:ascii="Times New Roman" w:hAnsi="Times New Roman" w:cs="Times New Roman"/>
        </w:rPr>
        <w:t xml:space="preserve">ten CCSSO </w:t>
      </w:r>
      <w:r w:rsidRPr="007C56DF">
        <w:rPr>
          <w:rFonts w:ascii="Times New Roman" w:hAnsi="Times New Roman" w:cs="Times New Roman"/>
        </w:rPr>
        <w:t xml:space="preserve">standards form the four elements of effective practice:  knowledge of the learner and learning; content knowledge, instructional practice, and professional responsibility.  These elements align with those of the Council for Exceptional Children:  (a) learner and learning; (b) content knowledge and professional foundations; </w:t>
      </w:r>
      <w:r w:rsidR="00E65F3A" w:rsidRPr="007C56DF">
        <w:rPr>
          <w:rFonts w:ascii="Times New Roman" w:hAnsi="Times New Roman" w:cs="Times New Roman"/>
        </w:rPr>
        <w:t xml:space="preserve">(c) </w:t>
      </w:r>
      <w:r w:rsidRPr="007C56DF">
        <w:rPr>
          <w:rFonts w:ascii="Times New Roman" w:hAnsi="Times New Roman" w:cs="Times New Roman"/>
        </w:rPr>
        <w:t xml:space="preserve">instructional pedagogy; and </w:t>
      </w:r>
      <w:r w:rsidR="00E65F3A" w:rsidRPr="007C56DF">
        <w:rPr>
          <w:rFonts w:ascii="Times New Roman" w:hAnsi="Times New Roman" w:cs="Times New Roman"/>
        </w:rPr>
        <w:t xml:space="preserve">(c) </w:t>
      </w:r>
      <w:r w:rsidRPr="007C56DF">
        <w:rPr>
          <w:rFonts w:ascii="Times New Roman" w:hAnsi="Times New Roman" w:cs="Times New Roman"/>
        </w:rPr>
        <w:t>professionalism and collaboration.</w:t>
      </w:r>
      <w:r w:rsidR="00E66555" w:rsidRPr="007C56DF">
        <w:rPr>
          <w:rFonts w:ascii="Times New Roman" w:hAnsi="Times New Roman" w:cs="Times New Roman"/>
        </w:rPr>
        <w:t xml:space="preserve">  </w:t>
      </w:r>
    </w:p>
    <w:p w14:paraId="7FBD56CF" w14:textId="59D5A645" w:rsidR="00E66555" w:rsidRPr="007C56DF" w:rsidRDefault="00E65F3A" w:rsidP="007C56DF">
      <w:pPr>
        <w:rPr>
          <w:rFonts w:ascii="Times New Roman" w:hAnsi="Times New Roman" w:cs="Times New Roman"/>
        </w:rPr>
      </w:pPr>
      <w:r w:rsidRPr="007C56DF">
        <w:rPr>
          <w:rFonts w:ascii="Times New Roman" w:hAnsi="Times New Roman" w:cs="Times New Roman"/>
        </w:rPr>
        <w:t xml:space="preserve">These </w:t>
      </w:r>
      <w:r w:rsidR="00E8385F" w:rsidRPr="007C56DF">
        <w:rPr>
          <w:rFonts w:ascii="Times New Roman" w:hAnsi="Times New Roman" w:cs="Times New Roman"/>
        </w:rPr>
        <w:t xml:space="preserve">sets of standards </w:t>
      </w:r>
      <w:r w:rsidRPr="007C56DF">
        <w:rPr>
          <w:rFonts w:ascii="Times New Roman" w:hAnsi="Times New Roman" w:cs="Times New Roman"/>
        </w:rPr>
        <w:t>are</w:t>
      </w:r>
      <w:r w:rsidR="00067AE6" w:rsidRPr="007C56DF">
        <w:rPr>
          <w:rFonts w:ascii="Times New Roman" w:hAnsi="Times New Roman" w:cs="Times New Roman"/>
        </w:rPr>
        <w:t xml:space="preserve"> represented in Figure </w:t>
      </w:r>
      <w:r w:rsidR="0020653A" w:rsidRPr="007C56DF">
        <w:rPr>
          <w:rFonts w:ascii="Times New Roman" w:hAnsi="Times New Roman" w:cs="Times New Roman"/>
        </w:rPr>
        <w:t>2</w:t>
      </w:r>
      <w:r w:rsidR="00E8385F" w:rsidRPr="007C56DF">
        <w:rPr>
          <w:rFonts w:ascii="Times New Roman" w:hAnsi="Times New Roman" w:cs="Times New Roman"/>
        </w:rPr>
        <w:t>,</w:t>
      </w:r>
      <w:r w:rsidR="0020653A" w:rsidRPr="007C56DF">
        <w:rPr>
          <w:rFonts w:ascii="Times New Roman" w:hAnsi="Times New Roman" w:cs="Times New Roman"/>
        </w:rPr>
        <w:t xml:space="preserve"> which shows the similarity in the CEC and InTASC standards.</w:t>
      </w:r>
      <w:r w:rsidR="00E504C8" w:rsidRPr="007C56DF">
        <w:rPr>
          <w:rFonts w:ascii="Times New Roman" w:hAnsi="Times New Roman" w:cs="Times New Roman"/>
        </w:rPr>
        <w:t xml:space="preserve">  CEC establishes standards for special educators while the InTASC standards set benchmarks for </w:t>
      </w:r>
      <w:r w:rsidR="0001618E" w:rsidRPr="007C56DF">
        <w:rPr>
          <w:rFonts w:ascii="Times New Roman" w:hAnsi="Times New Roman" w:cs="Times New Roman"/>
        </w:rPr>
        <w:t xml:space="preserve">all </w:t>
      </w:r>
      <w:r w:rsidR="00E504C8" w:rsidRPr="007C56DF">
        <w:rPr>
          <w:rFonts w:ascii="Times New Roman" w:hAnsi="Times New Roman" w:cs="Times New Roman"/>
        </w:rPr>
        <w:t xml:space="preserve">teachers. </w:t>
      </w:r>
      <w:r w:rsidR="002B3C4A" w:rsidRPr="007C56DF">
        <w:rPr>
          <w:rFonts w:ascii="Times New Roman" w:hAnsi="Times New Roman" w:cs="Times New Roman"/>
        </w:rPr>
        <w:t xml:space="preserve"> In both cases, teacher practice is encapsulated in four major arenas:  (1) </w:t>
      </w:r>
      <w:r w:rsidR="0028565F" w:rsidRPr="007C56DF">
        <w:rPr>
          <w:rFonts w:ascii="Times New Roman" w:hAnsi="Times New Roman" w:cs="Times New Roman"/>
        </w:rPr>
        <w:t xml:space="preserve">knowledge about learning and learners; (2) content knowledge; (3) skilled practice in instruction; and (4) knowledge and responsibility for the teaching profession.  </w:t>
      </w:r>
      <w:r w:rsidR="0020653A" w:rsidRPr="007C56DF">
        <w:rPr>
          <w:rFonts w:ascii="Times New Roman" w:hAnsi="Times New Roman" w:cs="Times New Roman"/>
        </w:rPr>
        <w:t>In</w:t>
      </w:r>
      <w:r w:rsidR="00E504C8" w:rsidRPr="007C56DF">
        <w:rPr>
          <w:rFonts w:ascii="Times New Roman" w:hAnsi="Times New Roman" w:cs="Times New Roman"/>
        </w:rPr>
        <w:t xml:space="preserve"> addition to what teachers know and are able to do</w:t>
      </w:r>
      <w:r w:rsidR="0020653A" w:rsidRPr="007C56DF">
        <w:rPr>
          <w:rFonts w:ascii="Times New Roman" w:hAnsi="Times New Roman" w:cs="Times New Roman"/>
        </w:rPr>
        <w:t xml:space="preserve">, the CAEP standards </w:t>
      </w:r>
      <w:r w:rsidR="00E504C8" w:rsidRPr="007C56DF">
        <w:rPr>
          <w:rFonts w:ascii="Times New Roman" w:hAnsi="Times New Roman" w:cs="Times New Roman"/>
        </w:rPr>
        <w:t>also recognize the role of the organization that prepares teachers in terms of recruitment and the impact of teacher education on P-12 students.  As well, CAEP focuses on the way that programs both ensure consistent quality a</w:t>
      </w:r>
      <w:r w:rsidR="00997872" w:rsidRPr="007C56DF">
        <w:rPr>
          <w:rFonts w:ascii="Times New Roman" w:hAnsi="Times New Roman" w:cs="Times New Roman"/>
        </w:rPr>
        <w:t>nd</w:t>
      </w:r>
      <w:r w:rsidR="00E504C8" w:rsidRPr="007C56DF">
        <w:rPr>
          <w:rFonts w:ascii="Times New Roman" w:hAnsi="Times New Roman" w:cs="Times New Roman"/>
        </w:rPr>
        <w:t xml:space="preserve"> engage in continuous improvement of </w:t>
      </w:r>
      <w:r w:rsidR="0028565F" w:rsidRPr="007C56DF">
        <w:rPr>
          <w:rFonts w:ascii="Times New Roman" w:hAnsi="Times New Roman" w:cs="Times New Roman"/>
        </w:rPr>
        <w:t>the process of teacher education</w:t>
      </w:r>
      <w:r w:rsidR="00E504C8" w:rsidRPr="007C56DF">
        <w:rPr>
          <w:rFonts w:ascii="Times New Roman" w:hAnsi="Times New Roman" w:cs="Times New Roman"/>
        </w:rPr>
        <w:t xml:space="preserve">.  </w:t>
      </w:r>
    </w:p>
    <w:p w14:paraId="4B6FC6E0" w14:textId="6B937B78" w:rsidR="00CC10E9" w:rsidRPr="007C56DF" w:rsidRDefault="00344C45" w:rsidP="007C56DF">
      <w:pPr>
        <w:rPr>
          <w:rFonts w:ascii="Times New Roman" w:hAnsi="Times New Roman" w:cs="Times New Roman"/>
        </w:rPr>
      </w:pPr>
      <w:r w:rsidRPr="007C56DF">
        <w:rPr>
          <w:rFonts w:ascii="Times New Roman" w:hAnsi="Times New Roman" w:cs="Times New Roman"/>
          <w:noProof/>
        </w:rPr>
        <w:lastRenderedPageBreak/>
        <w:drawing>
          <wp:anchor distT="0" distB="0" distL="114300" distR="114300" simplePos="0" relativeHeight="251671552" behindDoc="0" locked="0" layoutInCell="1" allowOverlap="1" wp14:anchorId="13F4AE52" wp14:editId="2CD03FDB">
            <wp:simplePos x="0" y="0"/>
            <wp:positionH relativeFrom="column">
              <wp:posOffset>114300</wp:posOffset>
            </wp:positionH>
            <wp:positionV relativeFrom="paragraph">
              <wp:posOffset>342900</wp:posOffset>
            </wp:positionV>
            <wp:extent cx="5848350" cy="2828925"/>
            <wp:effectExtent l="0" t="0" r="19050" b="15875"/>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anchor>
        </w:drawing>
      </w:r>
    </w:p>
    <w:p w14:paraId="6D739B73" w14:textId="303199D0" w:rsidR="00344C45" w:rsidRDefault="00344C45" w:rsidP="00344C45">
      <w:pPr>
        <w:ind w:firstLine="0"/>
        <w:rPr>
          <w:rFonts w:ascii="Times New Roman" w:hAnsi="Times New Roman" w:cs="Times New Roman"/>
        </w:rPr>
      </w:pPr>
      <w:r w:rsidRPr="00344C45">
        <w:rPr>
          <w:rFonts w:ascii="Times New Roman" w:hAnsi="Times New Roman" w:cs="Times New Roman"/>
          <w:i/>
        </w:rPr>
        <w:t>Figure 2.</w:t>
      </w:r>
      <w:r>
        <w:rPr>
          <w:rFonts w:ascii="Times New Roman" w:hAnsi="Times New Roman" w:cs="Times New Roman"/>
        </w:rPr>
        <w:t xml:space="preserve"> Professional teacher education standards</w:t>
      </w:r>
      <w:r w:rsidR="00E73D3D">
        <w:rPr>
          <w:rFonts w:ascii="Times New Roman" w:hAnsi="Times New Roman" w:cs="Times New Roman"/>
        </w:rPr>
        <w:t>.</w:t>
      </w:r>
    </w:p>
    <w:p w14:paraId="07537E4F" w14:textId="1457FEB7" w:rsidR="00D50E87" w:rsidRPr="007C56DF" w:rsidRDefault="00067AE6" w:rsidP="007C56DF">
      <w:pPr>
        <w:rPr>
          <w:rFonts w:ascii="Times New Roman" w:hAnsi="Times New Roman" w:cs="Times New Roman"/>
        </w:rPr>
      </w:pPr>
      <w:r w:rsidRPr="007C56DF">
        <w:rPr>
          <w:rFonts w:ascii="Times New Roman" w:hAnsi="Times New Roman" w:cs="Times New Roman"/>
        </w:rPr>
        <w:t>Standards by themselves are inadequate to govern the complex</w:t>
      </w:r>
      <w:r w:rsidR="00680B7C" w:rsidRPr="007C56DF">
        <w:rPr>
          <w:rFonts w:ascii="Times New Roman" w:hAnsi="Times New Roman" w:cs="Times New Roman"/>
        </w:rPr>
        <w:t xml:space="preserve"> </w:t>
      </w:r>
      <w:r w:rsidRPr="007C56DF">
        <w:rPr>
          <w:rFonts w:ascii="Times New Roman" w:hAnsi="Times New Roman" w:cs="Times New Roman"/>
        </w:rPr>
        <w:t>behaviors of organizations, like those that offer teacher education.  Nor can standards of professional practice ensure that practitioners are able to perform all aspects of their practice fluently across a broad variety of P-12 students.  Without systems of assessment that are focused on performance, linked to local personnel evaluation systems designed to assess professional practice and support structures that offer ongoing professional learning, turning out a reliably strong work force will remain elusive</w:t>
      </w:r>
      <w:r w:rsidR="00416E9D" w:rsidRPr="007C56DF">
        <w:rPr>
          <w:rFonts w:ascii="Times New Roman" w:hAnsi="Times New Roman" w:cs="Times New Roman"/>
        </w:rPr>
        <w:t xml:space="preserve"> (Darling-Hammond, 2012)</w:t>
      </w:r>
      <w:r w:rsidRPr="007C56DF">
        <w:rPr>
          <w:rFonts w:ascii="Times New Roman" w:hAnsi="Times New Roman" w:cs="Times New Roman"/>
        </w:rPr>
        <w:t xml:space="preserve">.  </w:t>
      </w:r>
      <w:r w:rsidR="001F56C2" w:rsidRPr="007C56DF">
        <w:rPr>
          <w:rFonts w:ascii="Times New Roman" w:hAnsi="Times New Roman" w:cs="Times New Roman"/>
        </w:rPr>
        <w:t xml:space="preserve">Further, professional organizations produced these standards, not government entities.  Since state governments have responsibility for establishing and maintaining educational opportunities for their populations, they have the responsibility to license individuals to teach.  While they may be influenced by the standards of the professional organizations, each state sets its standards according to the needs of its local school districts, the political and social climate within the state, and the degree to which there is effective collaboration among various </w:t>
      </w:r>
      <w:r w:rsidR="001F56C2" w:rsidRPr="007C56DF">
        <w:rPr>
          <w:rFonts w:ascii="Times New Roman" w:hAnsi="Times New Roman" w:cs="Times New Roman"/>
        </w:rPr>
        <w:lastRenderedPageBreak/>
        <w:t xml:space="preserve">stakeholder groups such as families, local school districts, local professional organizations, and policy makers.  </w:t>
      </w:r>
    </w:p>
    <w:p w14:paraId="43884D28" w14:textId="73DEE16F" w:rsidR="00E66555" w:rsidRPr="007C56DF" w:rsidRDefault="00416E9D" w:rsidP="007C56DF">
      <w:pPr>
        <w:rPr>
          <w:rFonts w:ascii="Times New Roman" w:hAnsi="Times New Roman" w:cs="Times New Roman"/>
        </w:rPr>
      </w:pPr>
      <w:r w:rsidRPr="007C56DF">
        <w:rPr>
          <w:rFonts w:ascii="Times New Roman" w:hAnsi="Times New Roman" w:cs="Times New Roman"/>
        </w:rPr>
        <w:t>Systems of teacher preparation are coordinated efforts</w:t>
      </w:r>
      <w:r w:rsidR="00906CBD" w:rsidRPr="007C56DF">
        <w:rPr>
          <w:rFonts w:ascii="Times New Roman" w:hAnsi="Times New Roman" w:cs="Times New Roman"/>
        </w:rPr>
        <w:t xml:space="preserve">.  Teacher preparation programs </w:t>
      </w:r>
      <w:r w:rsidRPr="007C56DF">
        <w:rPr>
          <w:rFonts w:ascii="Times New Roman" w:hAnsi="Times New Roman" w:cs="Times New Roman"/>
        </w:rPr>
        <w:t xml:space="preserve">attract prospective teachers to programs of study, select students from among a set of applicants, </w:t>
      </w:r>
      <w:r w:rsidR="00E66555" w:rsidRPr="007C56DF">
        <w:rPr>
          <w:rFonts w:ascii="Times New Roman" w:hAnsi="Times New Roman" w:cs="Times New Roman"/>
        </w:rPr>
        <w:t xml:space="preserve">and </w:t>
      </w:r>
      <w:r w:rsidRPr="007C56DF">
        <w:rPr>
          <w:rFonts w:ascii="Times New Roman" w:hAnsi="Times New Roman" w:cs="Times New Roman"/>
        </w:rPr>
        <w:t>provide a set of learning experiences that include knowledge building, practice, and assessment of competence or fitness to teach.  The institution that educates the teacher makes the</w:t>
      </w:r>
      <w:r w:rsidR="00E66555" w:rsidRPr="007C56DF">
        <w:rPr>
          <w:rFonts w:ascii="Times New Roman" w:hAnsi="Times New Roman" w:cs="Times New Roman"/>
        </w:rPr>
        <w:t xml:space="preserve"> initial</w:t>
      </w:r>
      <w:r w:rsidRPr="007C56DF">
        <w:rPr>
          <w:rFonts w:ascii="Times New Roman" w:hAnsi="Times New Roman" w:cs="Times New Roman"/>
        </w:rPr>
        <w:t xml:space="preserve"> determination</w:t>
      </w:r>
      <w:r w:rsidR="00E66555" w:rsidRPr="007C56DF">
        <w:rPr>
          <w:rFonts w:ascii="Times New Roman" w:hAnsi="Times New Roman" w:cs="Times New Roman"/>
        </w:rPr>
        <w:t xml:space="preserve"> of readiness to teach</w:t>
      </w:r>
      <w:r w:rsidRPr="007C56DF">
        <w:rPr>
          <w:rFonts w:ascii="Times New Roman" w:hAnsi="Times New Roman" w:cs="Times New Roman"/>
        </w:rPr>
        <w:t xml:space="preserve"> as the student exits the program</w:t>
      </w:r>
      <w:r w:rsidR="00E66555" w:rsidRPr="007C56DF">
        <w:rPr>
          <w:rFonts w:ascii="Times New Roman" w:hAnsi="Times New Roman" w:cs="Times New Roman"/>
        </w:rPr>
        <w:t xml:space="preserve"> and receives a degree or credential that indicates successful completion of all program components</w:t>
      </w:r>
      <w:r w:rsidRPr="007C56DF">
        <w:rPr>
          <w:rFonts w:ascii="Times New Roman" w:hAnsi="Times New Roman" w:cs="Times New Roman"/>
        </w:rPr>
        <w:t xml:space="preserve">.  Often, in a reciprocal arrangement between the state and the institution, the graduating institution recommends graduates for licensure to the </w:t>
      </w:r>
      <w:r w:rsidR="00EC4E3A" w:rsidRPr="007C56DF">
        <w:rPr>
          <w:rFonts w:ascii="Times New Roman" w:hAnsi="Times New Roman" w:cs="Times New Roman"/>
        </w:rPr>
        <w:t>state-licensing</w:t>
      </w:r>
      <w:r w:rsidRPr="007C56DF">
        <w:rPr>
          <w:rFonts w:ascii="Times New Roman" w:hAnsi="Times New Roman" w:cs="Times New Roman"/>
        </w:rPr>
        <w:t xml:space="preserve"> bureau</w:t>
      </w:r>
      <w:r w:rsidR="00E66555" w:rsidRPr="007C56DF">
        <w:rPr>
          <w:rFonts w:ascii="Times New Roman" w:hAnsi="Times New Roman" w:cs="Times New Roman"/>
        </w:rPr>
        <w:t>, based on successful graduation</w:t>
      </w:r>
      <w:r w:rsidRPr="007C56DF">
        <w:rPr>
          <w:rFonts w:ascii="Times New Roman" w:hAnsi="Times New Roman" w:cs="Times New Roman"/>
        </w:rPr>
        <w:t xml:space="preserve">.  </w:t>
      </w:r>
      <w:r w:rsidR="00E66555" w:rsidRPr="007C56DF">
        <w:rPr>
          <w:rFonts w:ascii="Times New Roman" w:hAnsi="Times New Roman" w:cs="Times New Roman"/>
        </w:rPr>
        <w:t xml:space="preserve">The state recognizes graduates as successful completers and confers the license or credential to teach.  </w:t>
      </w:r>
      <w:r w:rsidRPr="007C56DF">
        <w:rPr>
          <w:rFonts w:ascii="Times New Roman" w:hAnsi="Times New Roman" w:cs="Times New Roman"/>
        </w:rPr>
        <w:t>Upon receipt of the license, the new teacher is now presumed to be fit to teach</w:t>
      </w:r>
      <w:r w:rsidR="00E66555" w:rsidRPr="007C56DF">
        <w:rPr>
          <w:rFonts w:ascii="Times New Roman" w:hAnsi="Times New Roman" w:cs="Times New Roman"/>
        </w:rPr>
        <w:t xml:space="preserve"> by employers</w:t>
      </w:r>
      <w:r w:rsidRPr="007C56DF">
        <w:rPr>
          <w:rFonts w:ascii="Times New Roman" w:hAnsi="Times New Roman" w:cs="Times New Roman"/>
        </w:rPr>
        <w:t xml:space="preserve">.  </w:t>
      </w:r>
      <w:r w:rsidR="00680B7C" w:rsidRPr="007C56DF">
        <w:rPr>
          <w:rFonts w:ascii="Times New Roman" w:hAnsi="Times New Roman" w:cs="Times New Roman"/>
        </w:rPr>
        <w:t>Grossman and Loeb (2008) call th</w:t>
      </w:r>
      <w:r w:rsidR="00916238" w:rsidRPr="007C56DF">
        <w:rPr>
          <w:rFonts w:ascii="Times New Roman" w:hAnsi="Times New Roman" w:cs="Times New Roman"/>
        </w:rPr>
        <w:t>ese</w:t>
      </w:r>
      <w:r w:rsidR="00680B7C" w:rsidRPr="007C56DF">
        <w:rPr>
          <w:rFonts w:ascii="Times New Roman" w:hAnsi="Times New Roman" w:cs="Times New Roman"/>
        </w:rPr>
        <w:t xml:space="preserve"> “college recommending” programs as opposed to “early entry” programs.  The latter are programs where entrants learn to teach on-the-job with varying degrees of support while teaching and knowledge building outside the classroom.  </w:t>
      </w:r>
    </w:p>
    <w:p w14:paraId="7D068932" w14:textId="7F64589F" w:rsidR="00BC7D21" w:rsidRPr="007C56DF" w:rsidRDefault="00416E9D" w:rsidP="007C56DF">
      <w:pPr>
        <w:rPr>
          <w:rFonts w:ascii="Times New Roman" w:hAnsi="Times New Roman" w:cs="Times New Roman"/>
        </w:rPr>
      </w:pPr>
      <w:r w:rsidRPr="007C56DF">
        <w:rPr>
          <w:rFonts w:ascii="Times New Roman" w:hAnsi="Times New Roman" w:cs="Times New Roman"/>
        </w:rPr>
        <w:t>Ideally, the standards for what teachers need to know and be able to do</w:t>
      </w:r>
      <w:r w:rsidR="00611AAD" w:rsidRPr="007C56DF">
        <w:rPr>
          <w:rFonts w:ascii="Times New Roman" w:hAnsi="Times New Roman" w:cs="Times New Roman"/>
        </w:rPr>
        <w:t xml:space="preserve"> match</w:t>
      </w:r>
      <w:r w:rsidRPr="007C56DF">
        <w:rPr>
          <w:rFonts w:ascii="Times New Roman" w:hAnsi="Times New Roman" w:cs="Times New Roman"/>
        </w:rPr>
        <w:t xml:space="preserve"> the context and needs of schools and local school districts. </w:t>
      </w:r>
      <w:r w:rsidR="00A5742B" w:rsidRPr="007C56DF">
        <w:rPr>
          <w:rFonts w:ascii="Times New Roman" w:hAnsi="Times New Roman" w:cs="Times New Roman"/>
        </w:rPr>
        <w:t xml:space="preserve"> But standards are also </w:t>
      </w:r>
      <w:r w:rsidR="00BC7D21" w:rsidRPr="007C56DF">
        <w:rPr>
          <w:rFonts w:ascii="Times New Roman" w:hAnsi="Times New Roman" w:cs="Times New Roman"/>
        </w:rPr>
        <w:t xml:space="preserve">a way of highlighting changes that need to happen in practice.  </w:t>
      </w:r>
      <w:r w:rsidRPr="007C56DF">
        <w:rPr>
          <w:rFonts w:ascii="Times New Roman" w:hAnsi="Times New Roman" w:cs="Times New Roman"/>
        </w:rPr>
        <w:t xml:space="preserve"> Certainly, the I</w:t>
      </w:r>
      <w:r w:rsidR="001562CE" w:rsidRPr="007C56DF">
        <w:rPr>
          <w:rFonts w:ascii="Times New Roman" w:hAnsi="Times New Roman" w:cs="Times New Roman"/>
        </w:rPr>
        <w:t>n</w:t>
      </w:r>
      <w:r w:rsidRPr="007C56DF">
        <w:rPr>
          <w:rFonts w:ascii="Times New Roman" w:hAnsi="Times New Roman" w:cs="Times New Roman"/>
        </w:rPr>
        <w:t>TASC standards</w:t>
      </w:r>
      <w:r w:rsidR="00BC7D21" w:rsidRPr="007C56DF">
        <w:rPr>
          <w:rFonts w:ascii="Times New Roman" w:hAnsi="Times New Roman" w:cs="Times New Roman"/>
        </w:rPr>
        <w:t>,</w:t>
      </w:r>
      <w:r w:rsidRPr="007C56DF">
        <w:rPr>
          <w:rFonts w:ascii="Times New Roman" w:hAnsi="Times New Roman" w:cs="Times New Roman"/>
        </w:rPr>
        <w:t xml:space="preserve"> reached by consensus among m</w:t>
      </w:r>
      <w:r w:rsidR="00385D64" w:rsidRPr="007C56DF">
        <w:rPr>
          <w:rFonts w:ascii="Times New Roman" w:hAnsi="Times New Roman" w:cs="Times New Roman"/>
        </w:rPr>
        <w:t>any</w:t>
      </w:r>
      <w:r w:rsidRPr="007C56DF">
        <w:rPr>
          <w:rFonts w:ascii="Times New Roman" w:hAnsi="Times New Roman" w:cs="Times New Roman"/>
        </w:rPr>
        <w:t xml:space="preserve"> of the states and territories</w:t>
      </w:r>
      <w:r w:rsidR="00BC7D21" w:rsidRPr="007C56DF">
        <w:rPr>
          <w:rFonts w:ascii="Times New Roman" w:hAnsi="Times New Roman" w:cs="Times New Roman"/>
        </w:rPr>
        <w:t>,</w:t>
      </w:r>
      <w:r w:rsidRPr="007C56DF">
        <w:rPr>
          <w:rFonts w:ascii="Times New Roman" w:hAnsi="Times New Roman" w:cs="Times New Roman"/>
        </w:rPr>
        <w:t xml:space="preserve"> represent </w:t>
      </w:r>
      <w:r w:rsidR="00A13822" w:rsidRPr="007C56DF">
        <w:rPr>
          <w:rFonts w:ascii="Times New Roman" w:hAnsi="Times New Roman" w:cs="Times New Roman"/>
        </w:rPr>
        <w:t xml:space="preserve">generically </w:t>
      </w:r>
      <w:r w:rsidR="00BC7D21" w:rsidRPr="007C56DF">
        <w:rPr>
          <w:rFonts w:ascii="Times New Roman" w:hAnsi="Times New Roman" w:cs="Times New Roman"/>
        </w:rPr>
        <w:t xml:space="preserve">the teacher competency needs </w:t>
      </w:r>
      <w:r w:rsidR="00916238" w:rsidRPr="007C56DF">
        <w:rPr>
          <w:rFonts w:ascii="Times New Roman" w:hAnsi="Times New Roman" w:cs="Times New Roman"/>
        </w:rPr>
        <w:t xml:space="preserve">of </w:t>
      </w:r>
      <w:r w:rsidRPr="007C56DF">
        <w:rPr>
          <w:rFonts w:ascii="Times New Roman" w:hAnsi="Times New Roman" w:cs="Times New Roman"/>
        </w:rPr>
        <w:t xml:space="preserve">states </w:t>
      </w:r>
      <w:r w:rsidR="00A13822" w:rsidRPr="007C56DF">
        <w:rPr>
          <w:rFonts w:ascii="Times New Roman" w:hAnsi="Times New Roman" w:cs="Times New Roman"/>
        </w:rPr>
        <w:t>and the approximately 100,000</w:t>
      </w:r>
      <w:r w:rsidRPr="007C56DF">
        <w:rPr>
          <w:rFonts w:ascii="Times New Roman" w:hAnsi="Times New Roman" w:cs="Times New Roman"/>
        </w:rPr>
        <w:t xml:space="preserve"> local district</w:t>
      </w:r>
      <w:r w:rsidR="001562CE" w:rsidRPr="007C56DF">
        <w:rPr>
          <w:rFonts w:ascii="Times New Roman" w:hAnsi="Times New Roman" w:cs="Times New Roman"/>
        </w:rPr>
        <w:t>s</w:t>
      </w:r>
      <w:r w:rsidR="00A13822" w:rsidRPr="007C56DF">
        <w:rPr>
          <w:rFonts w:ascii="Times New Roman" w:hAnsi="Times New Roman" w:cs="Times New Roman"/>
        </w:rPr>
        <w:t xml:space="preserve"> that comprise the nation’s public school system.  </w:t>
      </w:r>
      <w:r w:rsidRPr="007C56DF">
        <w:rPr>
          <w:rFonts w:ascii="Times New Roman" w:hAnsi="Times New Roman" w:cs="Times New Roman"/>
        </w:rPr>
        <w:t xml:space="preserve"> </w:t>
      </w:r>
      <w:r w:rsidR="00086250" w:rsidRPr="007C56DF">
        <w:rPr>
          <w:rFonts w:ascii="Times New Roman" w:hAnsi="Times New Roman" w:cs="Times New Roman"/>
        </w:rPr>
        <w:t>Yet</w:t>
      </w:r>
      <w:r w:rsidR="00C579F6" w:rsidRPr="007C56DF">
        <w:rPr>
          <w:rFonts w:ascii="Times New Roman" w:hAnsi="Times New Roman" w:cs="Times New Roman"/>
        </w:rPr>
        <w:t>, licensing</w:t>
      </w:r>
      <w:r w:rsidR="00086250" w:rsidRPr="007C56DF">
        <w:rPr>
          <w:rFonts w:ascii="Times New Roman" w:hAnsi="Times New Roman" w:cs="Times New Roman"/>
        </w:rPr>
        <w:t xml:space="preserve"> systems have a number of competing tensions built into them.  Universities and other teacher education organizations need students to fill their programs to afford their permanent employees.  States need to be able to license enough teachers to fill the </w:t>
      </w:r>
      <w:r w:rsidR="00086250" w:rsidRPr="007C56DF">
        <w:rPr>
          <w:rFonts w:ascii="Times New Roman" w:hAnsi="Times New Roman" w:cs="Times New Roman"/>
        </w:rPr>
        <w:lastRenderedPageBreak/>
        <w:t xml:space="preserve">vacant positions in schools throughout their political boundaries.  </w:t>
      </w:r>
      <w:r w:rsidR="00A13822" w:rsidRPr="007C56DF">
        <w:rPr>
          <w:rFonts w:ascii="Times New Roman" w:hAnsi="Times New Roman" w:cs="Times New Roman"/>
        </w:rPr>
        <w:t xml:space="preserve">Local districts need teachers who are equipped to their families, connect with their communities, and build on the local funds of knowledge that exist within communities but may not be represented or accessed in the dominant culture curriculum (Gonzales, Moll, &amp; Amanti, 2005).  </w:t>
      </w:r>
      <w:r w:rsidR="00BC7D21" w:rsidRPr="007C56DF">
        <w:rPr>
          <w:rFonts w:ascii="Times New Roman" w:hAnsi="Times New Roman" w:cs="Times New Roman"/>
        </w:rPr>
        <w:t xml:space="preserve">Standards are translated, appropriated, streamlined, and recalibrated as they travel across systems and levels.  </w:t>
      </w:r>
    </w:p>
    <w:p w14:paraId="7682EC71" w14:textId="7ECA337A" w:rsidR="00416E9D" w:rsidRPr="007C56DF" w:rsidRDefault="00BC7D21" w:rsidP="007C56DF">
      <w:pPr>
        <w:rPr>
          <w:rFonts w:ascii="Times New Roman" w:hAnsi="Times New Roman" w:cs="Times New Roman"/>
        </w:rPr>
      </w:pPr>
      <w:r w:rsidRPr="007C56DF">
        <w:rPr>
          <w:rFonts w:ascii="Times New Roman" w:hAnsi="Times New Roman" w:cs="Times New Roman"/>
        </w:rPr>
        <w:t xml:space="preserve">As well, political and economic realities influence implementation.  </w:t>
      </w:r>
      <w:r w:rsidR="00086250" w:rsidRPr="007C56DF">
        <w:rPr>
          <w:rFonts w:ascii="Times New Roman" w:hAnsi="Times New Roman" w:cs="Times New Roman"/>
        </w:rPr>
        <w:t xml:space="preserve">Accreditation organizations like CAEP depend on their memberships to survive and perform the necessary accreditation activities.  Economics certainly play a role in who chooses to teach, how the process of becoming a professional educator is funded, and how systems of monitoring and quality assurance are conducted.  Investments in systems of teacher education need to account for the ways in which these interlocking mechanisms operate and the degree to which conflicts of interest are minimized and opportunities for increasing effectiveness are optimized.  </w:t>
      </w:r>
    </w:p>
    <w:p w14:paraId="666EF1A6" w14:textId="77777777" w:rsidR="00D671D1" w:rsidRPr="007C56DF" w:rsidRDefault="00D671D1" w:rsidP="007C56DF">
      <w:pPr>
        <w:pStyle w:val="Heading1"/>
        <w:spacing w:line="480" w:lineRule="auto"/>
        <w:rPr>
          <w:rFonts w:ascii="Times New Roman" w:hAnsi="Times New Roman" w:cs="Times New Roman"/>
        </w:rPr>
      </w:pPr>
      <w:r w:rsidRPr="007C56DF">
        <w:rPr>
          <w:rFonts w:ascii="Times New Roman" w:hAnsi="Times New Roman" w:cs="Times New Roman"/>
        </w:rPr>
        <w:t>Levers of Substantive Change</w:t>
      </w:r>
    </w:p>
    <w:p w14:paraId="493948B8" w14:textId="1378E274" w:rsidR="00D671D1" w:rsidRPr="007C56DF" w:rsidRDefault="00D671D1" w:rsidP="007C56DF">
      <w:pPr>
        <w:rPr>
          <w:rFonts w:ascii="Times New Roman" w:hAnsi="Times New Roman" w:cs="Times New Roman"/>
          <w:color w:val="000000"/>
        </w:rPr>
      </w:pPr>
      <w:r w:rsidRPr="007C56DF">
        <w:rPr>
          <w:rFonts w:ascii="Times New Roman" w:hAnsi="Times New Roman" w:cs="Times New Roman"/>
        </w:rPr>
        <w:t>Substantive change can be defined as change that sustains over time, occurs over multiple nested systems, and scales up across political boundaries such as local school districts, states, and regions of the country (</w:t>
      </w:r>
      <w:r w:rsidR="005F77C5" w:rsidRPr="007C56DF">
        <w:rPr>
          <w:rFonts w:ascii="Times New Roman" w:hAnsi="Times New Roman" w:cs="Times New Roman"/>
        </w:rPr>
        <w:t xml:space="preserve">Klingner, Boardman, &amp; McMaster, 2013; </w:t>
      </w:r>
      <w:r w:rsidRPr="007C56DF">
        <w:rPr>
          <w:rFonts w:ascii="Times New Roman" w:hAnsi="Times New Roman" w:cs="Times New Roman"/>
        </w:rPr>
        <w:t>Kozleski, Gibson, &amp; Hynd</w:t>
      </w:r>
      <w:r w:rsidR="003A02FE" w:rsidRPr="007C56DF">
        <w:rPr>
          <w:rFonts w:ascii="Times New Roman" w:hAnsi="Times New Roman" w:cs="Times New Roman"/>
        </w:rPr>
        <w:t>s</w:t>
      </w:r>
      <w:r w:rsidRPr="007C56DF">
        <w:rPr>
          <w:rFonts w:ascii="Times New Roman" w:hAnsi="Times New Roman" w:cs="Times New Roman"/>
        </w:rPr>
        <w:t>, 2012).  When enacted, substantive change resists efforts to restore a system to a previous state and will not revert, unless purposeful effort is undertaken.  Fragile systems change, on the other hand, depends on custodial efforts like the influx of external funding and extensive technical assistance to nurture and sustain it over time.  This kind of systems change is fragile because it does not sustain without extra-ordinary supports.  Those supports exist as long as political will is there to sustain it.  When congressional politics defund some projects</w:t>
      </w:r>
      <w:r w:rsidR="001562CE" w:rsidRPr="007C56DF">
        <w:rPr>
          <w:rFonts w:ascii="Times New Roman" w:hAnsi="Times New Roman" w:cs="Times New Roman"/>
        </w:rPr>
        <w:t xml:space="preserve"> and </w:t>
      </w:r>
      <w:r w:rsidRPr="007C56DF">
        <w:rPr>
          <w:rFonts w:ascii="Times New Roman" w:hAnsi="Times New Roman" w:cs="Times New Roman"/>
        </w:rPr>
        <w:t>reduce educational investments, systems change that has not become embedded in local practice and policy will not survive</w:t>
      </w:r>
      <w:r w:rsidR="001562CE" w:rsidRPr="007C56DF">
        <w:rPr>
          <w:rFonts w:ascii="Times New Roman" w:hAnsi="Times New Roman" w:cs="Times New Roman"/>
        </w:rPr>
        <w:t xml:space="preserve"> </w:t>
      </w:r>
      <w:r w:rsidR="001562CE" w:rsidRPr="007C56DF">
        <w:rPr>
          <w:rFonts w:ascii="Times New Roman" w:hAnsi="Times New Roman" w:cs="Times New Roman"/>
        </w:rPr>
        <w:lastRenderedPageBreak/>
        <w:t>(Fixsen, Nanoom, Blase, Friedman, &amp; Wallace, 2005)</w:t>
      </w:r>
      <w:r w:rsidRPr="007C56DF">
        <w:rPr>
          <w:rFonts w:ascii="Times New Roman" w:hAnsi="Times New Roman" w:cs="Times New Roman"/>
        </w:rPr>
        <w:t>.  Re-forming the teacher education system</w:t>
      </w:r>
      <w:r w:rsidRPr="007C56DF">
        <w:rPr>
          <w:rFonts w:ascii="Times New Roman" w:hAnsi="Times New Roman" w:cs="Times New Roman"/>
          <w:b/>
          <w:bCs/>
          <w:color w:val="000000"/>
        </w:rPr>
        <w:t xml:space="preserve"> </w:t>
      </w:r>
      <w:r w:rsidRPr="007C56DF">
        <w:rPr>
          <w:rFonts w:ascii="Times New Roman" w:hAnsi="Times New Roman" w:cs="Times New Roman"/>
          <w:color w:val="000000"/>
        </w:rPr>
        <w:t>to put 21</w:t>
      </w:r>
      <w:r w:rsidRPr="007C56DF">
        <w:rPr>
          <w:rFonts w:ascii="Times New Roman" w:hAnsi="Times New Roman" w:cs="Times New Roman"/>
          <w:color w:val="000000"/>
          <w:vertAlign w:val="superscript"/>
        </w:rPr>
        <w:t>st</w:t>
      </w:r>
      <w:r w:rsidRPr="007C56DF">
        <w:rPr>
          <w:rFonts w:ascii="Times New Roman" w:hAnsi="Times New Roman" w:cs="Times New Roman"/>
          <w:color w:val="000000"/>
        </w:rPr>
        <w:t xml:space="preserve"> century learning and organizational change tools in the hands of practitioners will require focused state and local effort on substantive change.  Investments in teacher education alone assume that the educational system would be fine, if only the workforce system would be improved.  In this section, </w:t>
      </w:r>
      <w:r w:rsidR="00385D64" w:rsidRPr="007C56DF">
        <w:rPr>
          <w:rFonts w:ascii="Times New Roman" w:hAnsi="Times New Roman" w:cs="Times New Roman"/>
          <w:color w:val="000000"/>
        </w:rPr>
        <w:t xml:space="preserve">we </w:t>
      </w:r>
      <w:r w:rsidRPr="007C56DF">
        <w:rPr>
          <w:rFonts w:ascii="Times New Roman" w:hAnsi="Times New Roman" w:cs="Times New Roman"/>
          <w:color w:val="000000"/>
        </w:rPr>
        <w:t xml:space="preserve">argue that changing teacher education through better and more rigorous accreditation and more practice embedded preservice education will not produce the needed effects without attending to substantive change in the practice system.  </w:t>
      </w:r>
    </w:p>
    <w:p w14:paraId="6D702007" w14:textId="67E82B83" w:rsidR="00FC1983" w:rsidRPr="007C56DF" w:rsidRDefault="00FC1983" w:rsidP="007C56DF">
      <w:pPr>
        <w:rPr>
          <w:rFonts w:ascii="Times New Roman" w:hAnsi="Times New Roman" w:cs="Times New Roman"/>
        </w:rPr>
      </w:pPr>
      <w:r w:rsidRPr="007C56DF">
        <w:rPr>
          <w:rFonts w:ascii="Times New Roman" w:hAnsi="Times New Roman" w:cs="Times New Roman"/>
        </w:rPr>
        <w:t>In the education realm, a number of successful efforts have resulted in substantive change.  The advent of public school systems funded through local tax dollars has served an important purpose in ensuring that communities across the country have had access to formal education. Indeed, by the latter part of the 20</w:t>
      </w:r>
      <w:r w:rsidRPr="007C56DF">
        <w:rPr>
          <w:rFonts w:ascii="Times New Roman" w:hAnsi="Times New Roman" w:cs="Times New Roman"/>
          <w:vertAlign w:val="superscript"/>
        </w:rPr>
        <w:t>th</w:t>
      </w:r>
      <w:r w:rsidRPr="007C56DF">
        <w:rPr>
          <w:rFonts w:ascii="Times New Roman" w:hAnsi="Times New Roman" w:cs="Times New Roman"/>
        </w:rPr>
        <w:t xml:space="preserve"> century, graduation from high school became the normative expectation (even as we continue to work towards 100% success in graduating all students). In addition, throughout the era of expanding public schools, a cheaply funded teacher workforce was expanded by attracting young women who had a</w:t>
      </w:r>
      <w:r w:rsidR="00EC4E3A" w:rsidRPr="007C56DF">
        <w:rPr>
          <w:rFonts w:ascii="Times New Roman" w:hAnsi="Times New Roman" w:cs="Times New Roman"/>
        </w:rPr>
        <w:t>n otherwise</w:t>
      </w:r>
      <w:r w:rsidRPr="007C56DF">
        <w:rPr>
          <w:rFonts w:ascii="Times New Roman" w:hAnsi="Times New Roman" w:cs="Times New Roman"/>
        </w:rPr>
        <w:t xml:space="preserve"> limited number of entry points into the workforce.  Today, about 87% of the teacher workforce is female (Kozleski, Artiles, McCray &amp; Lacy, 2014). </w:t>
      </w:r>
    </w:p>
    <w:p w14:paraId="01899898" w14:textId="179D6D2D" w:rsidR="00FC1983" w:rsidRPr="007C56DF" w:rsidRDefault="00FC1983" w:rsidP="007C56DF">
      <w:pPr>
        <w:rPr>
          <w:rFonts w:ascii="Times New Roman" w:hAnsi="Times New Roman" w:cs="Times New Roman"/>
        </w:rPr>
      </w:pPr>
      <w:r w:rsidRPr="007C56DF">
        <w:rPr>
          <w:rFonts w:ascii="Times New Roman" w:hAnsi="Times New Roman" w:cs="Times New Roman"/>
        </w:rPr>
        <w:t xml:space="preserve">On the other hand, policy that focuses on outputs without ensuring that the fundamental building blocks are in place to respond to the policy imperatives results in resistance, local effort focused on gaming the system to produce results, and cynical front line workers (Ball &amp; Olmedo, 2012). For instance, beginning with Brown v. Board of Education and persisting through the Elementary and Secondary Act of 1964, P.L. 94-142, the Education for All Handicapped Children Act and its subsequent reauthorizations, the Individuals with Disabilities Education Act, have had uneven impact, arguably because of unintended consequences. City schools are more segregated </w:t>
      </w:r>
      <w:r w:rsidRPr="007C56DF">
        <w:rPr>
          <w:rFonts w:ascii="Times New Roman" w:hAnsi="Times New Roman" w:cs="Times New Roman"/>
        </w:rPr>
        <w:lastRenderedPageBreak/>
        <w:t>now than they were in the pre-Brown era (Orfield &amp; Frankenberg, 2014), almost 40% of students with disabilities continue to be educated outside general education classrooms and schools (Kurth, Knackstedt, &amp; Kozleski, 2014), and disproportionate numbers of culturally and linguistically diverse students continue to be over identified for special education (Artiles, Kozleski, Trent, Osher, &amp; Ortiz, 2010). Attempts to rectify or reform such systemic ills as evidenced by a number of federally funded efforts at comprehensive school reform have met with mixed success (Aladjem et al, 2006).  Even the massive investments in the No Child Left Behind Act, including technical assistance centers designed to help states implement its many provisions, have had spotty effects on improving outcomes for students (OECD, 2013).  The above reform efforts have failed due to an environment that focuses on performance outcomes rather than transformative shifts in practice designed to achieve better, collective outcomes.  Substantive change in the outcomes of our teacher workforce system cannot be advanced without changing the context in which practice occurs.  The following levers are critical to substantive progress in outcomes.</w:t>
      </w:r>
    </w:p>
    <w:p w14:paraId="35A78566" w14:textId="231E1955" w:rsidR="00D671D1" w:rsidRPr="007C56DF" w:rsidRDefault="00D671D1" w:rsidP="007C56DF">
      <w:pPr>
        <w:rPr>
          <w:rFonts w:ascii="Times New Roman" w:hAnsi="Times New Roman" w:cs="Times New Roman"/>
        </w:rPr>
      </w:pPr>
      <w:r w:rsidRPr="007C56DF">
        <w:rPr>
          <w:rFonts w:ascii="Times New Roman" w:hAnsi="Times New Roman" w:cs="Times New Roman"/>
        </w:rPr>
        <w:t>In the education realm, a number of successful efforts have resulted in substantive change.  The advent of public school systems that systematically expanded over time as population needs grew is one such example.  Funded through local tax dollars, the public school system in the United States has served an important purpose in ensuring that communities across the country have had access to formal education, most often mandated through age 16.  By the latter part of the 20</w:t>
      </w:r>
      <w:r w:rsidRPr="007C56DF">
        <w:rPr>
          <w:rFonts w:ascii="Times New Roman" w:hAnsi="Times New Roman" w:cs="Times New Roman"/>
          <w:vertAlign w:val="superscript"/>
        </w:rPr>
        <w:t>th</w:t>
      </w:r>
      <w:r w:rsidRPr="007C56DF">
        <w:rPr>
          <w:rFonts w:ascii="Times New Roman" w:hAnsi="Times New Roman" w:cs="Times New Roman"/>
        </w:rPr>
        <w:t xml:space="preserve"> century, graduation from high school became the normative expectation (even as we continue to work towards 100% success in graduating all students).  An ever-expanding population of young people went on to college, fueled initially by the GI bill that funded the college educations of many veterans of World War II.  Throughout the era of expanding public schools, a cheaply funded teacher workforce was expanded by attracting young women who had </w:t>
      </w:r>
      <w:r w:rsidRPr="007C56DF">
        <w:rPr>
          <w:rFonts w:ascii="Times New Roman" w:hAnsi="Times New Roman" w:cs="Times New Roman"/>
        </w:rPr>
        <w:lastRenderedPageBreak/>
        <w:t>a</w:t>
      </w:r>
      <w:r w:rsidR="00EC4E3A" w:rsidRPr="007C56DF">
        <w:rPr>
          <w:rFonts w:ascii="Times New Roman" w:hAnsi="Times New Roman" w:cs="Times New Roman"/>
        </w:rPr>
        <w:t>n otherwise</w:t>
      </w:r>
      <w:r w:rsidRPr="007C56DF">
        <w:rPr>
          <w:rFonts w:ascii="Times New Roman" w:hAnsi="Times New Roman" w:cs="Times New Roman"/>
        </w:rPr>
        <w:t xml:space="preserve"> limited number of entry points into the workforce.  Today, about 87% of the teacher workforce is female (Kozleski, Artiles, </w:t>
      </w:r>
      <w:r w:rsidR="003A02FE" w:rsidRPr="007C56DF">
        <w:rPr>
          <w:rFonts w:ascii="Times New Roman" w:hAnsi="Times New Roman" w:cs="Times New Roman"/>
        </w:rPr>
        <w:t xml:space="preserve">McCray </w:t>
      </w:r>
      <w:r w:rsidRPr="007C56DF">
        <w:rPr>
          <w:rFonts w:ascii="Times New Roman" w:hAnsi="Times New Roman" w:cs="Times New Roman"/>
        </w:rPr>
        <w:t>&amp; Lacy, 201</w:t>
      </w:r>
      <w:r w:rsidR="003A02FE" w:rsidRPr="007C56DF">
        <w:rPr>
          <w:rFonts w:ascii="Times New Roman" w:hAnsi="Times New Roman" w:cs="Times New Roman"/>
        </w:rPr>
        <w:t>4</w:t>
      </w:r>
      <w:r w:rsidRPr="007C56DF">
        <w:rPr>
          <w:rFonts w:ascii="Times New Roman" w:hAnsi="Times New Roman" w:cs="Times New Roman"/>
        </w:rPr>
        <w:t xml:space="preserve">). </w:t>
      </w:r>
    </w:p>
    <w:p w14:paraId="41271835" w14:textId="39650229" w:rsidR="007C0879" w:rsidRPr="007C56DF" w:rsidRDefault="00D671D1" w:rsidP="007C56DF">
      <w:pPr>
        <w:rPr>
          <w:rFonts w:ascii="Times New Roman" w:hAnsi="Times New Roman" w:cs="Times New Roman"/>
        </w:rPr>
      </w:pPr>
      <w:r w:rsidRPr="007C56DF">
        <w:rPr>
          <w:rFonts w:ascii="Times New Roman" w:hAnsi="Times New Roman" w:cs="Times New Roman"/>
        </w:rPr>
        <w:t xml:space="preserve">On the other hand, efforts to drive substantive equity changes met with uneven success.  Beginning with Brown v. Board of Education and persisting through the Elementary and Secondary Act of 1964, P.L. 94-142, the Education </w:t>
      </w:r>
      <w:r w:rsidR="0086208E">
        <w:rPr>
          <w:rFonts w:ascii="Times New Roman" w:hAnsi="Times New Roman" w:cs="Times New Roman"/>
          <w:color w:val="000000" w:themeColor="text1"/>
        </w:rPr>
        <w:t>for All</w:t>
      </w:r>
      <w:r w:rsidR="0086208E">
        <w:rPr>
          <w:rFonts w:ascii="Times New Roman" w:hAnsi="Times New Roman" w:cs="Times New Roman"/>
        </w:rPr>
        <w:t xml:space="preserve"> Handicapped Children </w:t>
      </w:r>
      <w:r w:rsidRPr="0086208E">
        <w:rPr>
          <w:rFonts w:ascii="Times New Roman" w:hAnsi="Times New Roman" w:cs="Times New Roman"/>
        </w:rPr>
        <w:t xml:space="preserve">Act </w:t>
      </w:r>
      <w:r w:rsidRPr="00452BCF">
        <w:rPr>
          <w:rFonts w:ascii="Times New Roman" w:hAnsi="Times New Roman" w:cs="Times New Roman"/>
        </w:rPr>
        <w:t xml:space="preserve">and its subsequent reauthorizations, culminating most recently in the 2004 version, the Individuals with Disabilities Education Act, these policies have </w:t>
      </w:r>
      <w:r w:rsidR="00D702A5" w:rsidRPr="00452BCF">
        <w:rPr>
          <w:rFonts w:ascii="Times New Roman" w:hAnsi="Times New Roman" w:cs="Times New Roman"/>
        </w:rPr>
        <w:t>had uneven impact</w:t>
      </w:r>
      <w:r w:rsidRPr="00452BCF">
        <w:rPr>
          <w:rFonts w:ascii="Times New Roman" w:hAnsi="Times New Roman" w:cs="Times New Roman"/>
        </w:rPr>
        <w:t xml:space="preserve">, arguably because of unintended consequences.  As Orfield and </w:t>
      </w:r>
      <w:r w:rsidR="00F30C22" w:rsidRPr="00452BCF">
        <w:rPr>
          <w:rFonts w:ascii="Times New Roman" w:hAnsi="Times New Roman" w:cs="Times New Roman"/>
        </w:rPr>
        <w:t>Frankenberg</w:t>
      </w:r>
      <w:r w:rsidRPr="00452BCF">
        <w:rPr>
          <w:rFonts w:ascii="Times New Roman" w:hAnsi="Times New Roman" w:cs="Times New Roman"/>
        </w:rPr>
        <w:t xml:space="preserve"> pointed out in 2014, our city schools are more segregated now than they were in the pre-Brown era.  And, while over 6 million children with disabilities are now served in public schools, </w:t>
      </w:r>
      <w:r w:rsidR="0028565F" w:rsidRPr="00452BCF">
        <w:rPr>
          <w:rFonts w:ascii="Times New Roman" w:hAnsi="Times New Roman" w:cs="Times New Roman"/>
        </w:rPr>
        <w:t>almost</w:t>
      </w:r>
      <w:r w:rsidRPr="00452BCF">
        <w:rPr>
          <w:rFonts w:ascii="Times New Roman" w:hAnsi="Times New Roman" w:cs="Times New Roman"/>
        </w:rPr>
        <w:t xml:space="preserve"> 40% continue to be educated outside general education classrooms and schools</w:t>
      </w:r>
      <w:r w:rsidR="00F30C22" w:rsidRPr="00452BCF">
        <w:rPr>
          <w:rFonts w:ascii="Times New Roman" w:hAnsi="Times New Roman" w:cs="Times New Roman"/>
        </w:rPr>
        <w:t xml:space="preserve"> (Kurth, Knackstedt &amp; Kozleski, 2014)</w:t>
      </w:r>
      <w:r w:rsidRPr="00452BCF">
        <w:rPr>
          <w:rFonts w:ascii="Times New Roman" w:hAnsi="Times New Roman" w:cs="Times New Roman"/>
        </w:rPr>
        <w:t xml:space="preserve">.  A number of students within the special education population may be inaccurately identified.  Disproportionate identification of children from linguistically and culturally diverse </w:t>
      </w:r>
      <w:r w:rsidR="007C0879" w:rsidRPr="00452BCF">
        <w:rPr>
          <w:rFonts w:ascii="Times New Roman" w:hAnsi="Times New Roman" w:cs="Times New Roman"/>
        </w:rPr>
        <w:t xml:space="preserve">backgrounds with disabilities </w:t>
      </w:r>
      <w:r w:rsidRPr="00452BCF">
        <w:rPr>
          <w:rFonts w:ascii="Times New Roman" w:hAnsi="Times New Roman" w:cs="Times New Roman"/>
        </w:rPr>
        <w:t xml:space="preserve">continues to occur at unacceptable levels (Artiles, Kozleski, Trent, Osher, &amp; Ortiz, 2010). A number of federally funded efforts at comprehensive school reform </w:t>
      </w:r>
      <w:r w:rsidR="007C0879" w:rsidRPr="00452BCF">
        <w:rPr>
          <w:rFonts w:ascii="Times New Roman" w:hAnsi="Times New Roman" w:cs="Times New Roman"/>
        </w:rPr>
        <w:t xml:space="preserve">have </w:t>
      </w:r>
      <w:r w:rsidRPr="00452BCF">
        <w:rPr>
          <w:rFonts w:ascii="Times New Roman" w:hAnsi="Times New Roman" w:cs="Times New Roman"/>
        </w:rPr>
        <w:t xml:space="preserve">met with mixed success (Aladjem et al, 2006).  Even the massive investments in </w:t>
      </w:r>
      <w:r w:rsidR="007C0879" w:rsidRPr="00452BCF">
        <w:rPr>
          <w:rFonts w:ascii="Times New Roman" w:hAnsi="Times New Roman" w:cs="Times New Roman"/>
        </w:rPr>
        <w:t xml:space="preserve">the </w:t>
      </w:r>
      <w:r w:rsidRPr="00452BCF">
        <w:rPr>
          <w:rFonts w:ascii="Times New Roman" w:hAnsi="Times New Roman" w:cs="Times New Roman"/>
        </w:rPr>
        <w:t>No Child Left Behind</w:t>
      </w:r>
      <w:r w:rsidR="007C0879" w:rsidRPr="00452BCF">
        <w:rPr>
          <w:rFonts w:ascii="Times New Roman" w:hAnsi="Times New Roman" w:cs="Times New Roman"/>
        </w:rPr>
        <w:t xml:space="preserve"> Act</w:t>
      </w:r>
      <w:r w:rsidRPr="007C56DF">
        <w:rPr>
          <w:rFonts w:ascii="Times New Roman" w:hAnsi="Times New Roman" w:cs="Times New Roman"/>
        </w:rPr>
        <w:t>, including technical assistance centers designed to help states implement its many provisions, have had spotty effects on improving outcomes for students (</w:t>
      </w:r>
      <w:r w:rsidR="009516B2" w:rsidRPr="007C56DF">
        <w:rPr>
          <w:rFonts w:ascii="Times New Roman" w:hAnsi="Times New Roman" w:cs="Times New Roman"/>
        </w:rPr>
        <w:t>OECD, 2013</w:t>
      </w:r>
      <w:r w:rsidRPr="007C56DF">
        <w:rPr>
          <w:rFonts w:ascii="Times New Roman" w:hAnsi="Times New Roman" w:cs="Times New Roman"/>
        </w:rPr>
        <w:t xml:space="preserve">).  </w:t>
      </w:r>
    </w:p>
    <w:p w14:paraId="76B569A0" w14:textId="2674E489" w:rsidR="00D671D1" w:rsidRPr="007C56DF" w:rsidRDefault="00BC7D21" w:rsidP="007C56DF">
      <w:pPr>
        <w:rPr>
          <w:rFonts w:ascii="Times New Roman" w:hAnsi="Times New Roman" w:cs="Times New Roman"/>
        </w:rPr>
      </w:pPr>
      <w:r w:rsidRPr="007C56DF">
        <w:rPr>
          <w:rFonts w:ascii="Times New Roman" w:hAnsi="Times New Roman" w:cs="Times New Roman"/>
        </w:rPr>
        <w:t xml:space="preserve">In comparisons with other developed nations, the </w:t>
      </w:r>
      <w:r w:rsidR="00933F77" w:rsidRPr="007C56DF">
        <w:rPr>
          <w:rFonts w:ascii="Times New Roman" w:hAnsi="Times New Roman" w:cs="Times New Roman"/>
        </w:rPr>
        <w:t>U.S.</w:t>
      </w:r>
      <w:r w:rsidRPr="007C56DF">
        <w:rPr>
          <w:rFonts w:ascii="Times New Roman" w:hAnsi="Times New Roman" w:cs="Times New Roman"/>
        </w:rPr>
        <w:t xml:space="preserve"> remains in the middle of the pack in terms of student learning outcomes in reading and mathematics.  </w:t>
      </w:r>
      <w:r w:rsidR="00D671D1" w:rsidRPr="007C56DF">
        <w:rPr>
          <w:rFonts w:ascii="Times New Roman" w:hAnsi="Times New Roman" w:cs="Times New Roman"/>
        </w:rPr>
        <w:t>Policy that focuses on outputs without ensuring that the fundamental building blocks are in place to respond to the policy imperatives results in resistance, local effort focused on gaming the system to produce results, and cynical front line workers (</w:t>
      </w:r>
      <w:r w:rsidR="00F80911" w:rsidRPr="007C56DF">
        <w:rPr>
          <w:rFonts w:ascii="Times New Roman" w:hAnsi="Times New Roman" w:cs="Times New Roman"/>
        </w:rPr>
        <w:t>Ball &amp; Olmedo, 2012</w:t>
      </w:r>
      <w:r w:rsidR="00D671D1" w:rsidRPr="007C56DF">
        <w:rPr>
          <w:rFonts w:ascii="Times New Roman" w:hAnsi="Times New Roman" w:cs="Times New Roman"/>
        </w:rPr>
        <w:t xml:space="preserve">).  </w:t>
      </w:r>
      <w:r w:rsidR="00C11704" w:rsidRPr="007C56DF">
        <w:rPr>
          <w:rFonts w:ascii="Times New Roman" w:hAnsi="Times New Roman" w:cs="Times New Roman"/>
        </w:rPr>
        <w:t xml:space="preserve">In such an environment, individuals and </w:t>
      </w:r>
      <w:r w:rsidR="00C11704" w:rsidRPr="007C56DF">
        <w:rPr>
          <w:rFonts w:ascii="Times New Roman" w:hAnsi="Times New Roman" w:cs="Times New Roman"/>
        </w:rPr>
        <w:lastRenderedPageBreak/>
        <w:t xml:space="preserve">systems focus on performativity rather than transformative shifts in practice designed to achieve better, collective outcomes.  </w:t>
      </w:r>
      <w:r w:rsidR="00D671D1" w:rsidRPr="007C56DF">
        <w:rPr>
          <w:rFonts w:ascii="Times New Roman" w:hAnsi="Times New Roman" w:cs="Times New Roman"/>
        </w:rPr>
        <w:t xml:space="preserve">Substantive change in the outcomes of our teacher workforce system cannot be advanced without changing the context in which practice occurs.  The following levers are critical to substantive progress in outcomes for all students.  </w:t>
      </w:r>
    </w:p>
    <w:p w14:paraId="28A21B95" w14:textId="1B4E161E" w:rsidR="00D671D1" w:rsidRPr="007C56DF" w:rsidRDefault="00652D59" w:rsidP="007C56DF">
      <w:pPr>
        <w:pStyle w:val="Heading2"/>
        <w:rPr>
          <w:rFonts w:ascii="Times New Roman" w:hAnsi="Times New Roman" w:cs="Times New Roman"/>
        </w:rPr>
      </w:pPr>
      <w:r w:rsidRPr="007C56DF">
        <w:rPr>
          <w:rFonts w:ascii="Times New Roman" w:hAnsi="Times New Roman" w:cs="Times New Roman"/>
        </w:rPr>
        <w:t xml:space="preserve">Design to </w:t>
      </w:r>
      <w:r w:rsidR="00ED2E48" w:rsidRPr="007C56DF">
        <w:rPr>
          <w:rFonts w:ascii="Times New Roman" w:hAnsi="Times New Roman" w:cs="Times New Roman"/>
        </w:rPr>
        <w:t>I</w:t>
      </w:r>
      <w:r w:rsidRPr="007C56DF">
        <w:rPr>
          <w:rFonts w:ascii="Times New Roman" w:hAnsi="Times New Roman" w:cs="Times New Roman"/>
        </w:rPr>
        <w:t xml:space="preserve">mprove ALL </w:t>
      </w:r>
      <w:r w:rsidR="00ED2E48" w:rsidRPr="007C56DF">
        <w:rPr>
          <w:rFonts w:ascii="Times New Roman" w:hAnsi="Times New Roman" w:cs="Times New Roman"/>
        </w:rPr>
        <w:t>S</w:t>
      </w:r>
      <w:r w:rsidRPr="007C56DF">
        <w:rPr>
          <w:rFonts w:ascii="Times New Roman" w:hAnsi="Times New Roman" w:cs="Times New Roman"/>
        </w:rPr>
        <w:t xml:space="preserve">tudent </w:t>
      </w:r>
      <w:r w:rsidR="00ED2E48" w:rsidRPr="007C56DF">
        <w:rPr>
          <w:rFonts w:ascii="Times New Roman" w:hAnsi="Times New Roman" w:cs="Times New Roman"/>
        </w:rPr>
        <w:t>L</w:t>
      </w:r>
      <w:r w:rsidRPr="007C56DF">
        <w:rPr>
          <w:rFonts w:ascii="Times New Roman" w:hAnsi="Times New Roman" w:cs="Times New Roman"/>
        </w:rPr>
        <w:t>earning</w:t>
      </w:r>
    </w:p>
    <w:p w14:paraId="6BD9E7BF" w14:textId="23164A60" w:rsidR="00B910D4" w:rsidRPr="007C56DF" w:rsidRDefault="000B11B5" w:rsidP="007C56DF">
      <w:pPr>
        <w:rPr>
          <w:rFonts w:ascii="Times New Roman" w:hAnsi="Times New Roman" w:cs="Times New Roman"/>
        </w:rPr>
      </w:pPr>
      <w:r w:rsidRPr="007C56DF">
        <w:rPr>
          <w:rFonts w:ascii="Times New Roman" w:hAnsi="Times New Roman" w:cs="Times New Roman"/>
        </w:rPr>
        <w:t xml:space="preserve">In this section, several levers of systems change are identified that would have direct and substantial effect on the preparation of teachers to work with a diverse range of student needs. </w:t>
      </w:r>
      <w:r w:rsidR="00AA5C62" w:rsidRPr="007C56DF">
        <w:rPr>
          <w:rFonts w:ascii="Times New Roman" w:hAnsi="Times New Roman" w:cs="Times New Roman"/>
        </w:rPr>
        <w:t>Each of t</w:t>
      </w:r>
      <w:r w:rsidRPr="007C56DF">
        <w:rPr>
          <w:rFonts w:ascii="Times New Roman" w:hAnsi="Times New Roman" w:cs="Times New Roman"/>
        </w:rPr>
        <w:t xml:space="preserve">hese </w:t>
      </w:r>
      <w:r w:rsidRPr="00452BCF">
        <w:rPr>
          <w:rFonts w:ascii="Times New Roman" w:hAnsi="Times New Roman" w:cs="Times New Roman"/>
        </w:rPr>
        <w:t>levers address policy at the local, meso, and macro levels.  It is the combination of these levers in the complex</w:t>
      </w:r>
      <w:r w:rsidR="0028565F" w:rsidRPr="00452BCF">
        <w:rPr>
          <w:rFonts w:ascii="Times New Roman" w:hAnsi="Times New Roman" w:cs="Times New Roman"/>
        </w:rPr>
        <w:t xml:space="preserve"> </w:t>
      </w:r>
      <w:r w:rsidRPr="00452BCF">
        <w:rPr>
          <w:rFonts w:ascii="Times New Roman" w:hAnsi="Times New Roman" w:cs="Times New Roman"/>
        </w:rPr>
        <w:t xml:space="preserve">education system that offer opportunity for sustained and scaled change in student outcomes.  These levers include investing in the continued professionalization of the </w:t>
      </w:r>
      <w:r w:rsidR="002B34C8" w:rsidRPr="00452BCF">
        <w:rPr>
          <w:rFonts w:ascii="Times New Roman" w:hAnsi="Times New Roman" w:cs="Times New Roman"/>
        </w:rPr>
        <w:t>education</w:t>
      </w:r>
      <w:r w:rsidRPr="00452BCF">
        <w:rPr>
          <w:rFonts w:ascii="Times New Roman" w:hAnsi="Times New Roman" w:cs="Times New Roman"/>
        </w:rPr>
        <w:t xml:space="preserve"> </w:t>
      </w:r>
      <w:r w:rsidR="002B34C8" w:rsidRPr="00452BCF">
        <w:rPr>
          <w:rFonts w:ascii="Times New Roman" w:hAnsi="Times New Roman" w:cs="Times New Roman"/>
        </w:rPr>
        <w:t>field</w:t>
      </w:r>
      <w:r w:rsidRPr="00452BCF">
        <w:rPr>
          <w:rFonts w:ascii="Times New Roman" w:hAnsi="Times New Roman" w:cs="Times New Roman"/>
        </w:rPr>
        <w:t>, including ensuring that standards for entering, preparing, and becoming licensed to practice are rigorous, empirically measured, and continuous</w:t>
      </w:r>
      <w:r w:rsidR="00B910D4" w:rsidRPr="00452BCF">
        <w:rPr>
          <w:rFonts w:ascii="Times New Roman" w:hAnsi="Times New Roman" w:cs="Times New Roman"/>
        </w:rPr>
        <w:t>ly</w:t>
      </w:r>
      <w:r w:rsidRPr="00452BCF">
        <w:rPr>
          <w:rFonts w:ascii="Times New Roman" w:hAnsi="Times New Roman" w:cs="Times New Roman"/>
        </w:rPr>
        <w:t xml:space="preserve"> upgraded based on emerging research.</w:t>
      </w:r>
      <w:r w:rsidRPr="007C56DF">
        <w:rPr>
          <w:rFonts w:ascii="Times New Roman" w:hAnsi="Times New Roman" w:cs="Times New Roman"/>
        </w:rPr>
        <w:t xml:space="preserve">  Professionalizing the occupation requires paying teachers a professional wage, comparable to other professions, and creating a career ladder that respects continued attention to professional growth.  Professional teachers must practice in professional contexts that are well equipped and offer access to materials archived in national libraries and data repositories.  </w:t>
      </w:r>
    </w:p>
    <w:p w14:paraId="0CA06D03" w14:textId="37C06C52" w:rsidR="000B11B5" w:rsidRPr="007C56DF" w:rsidRDefault="00BC4D63" w:rsidP="007C56DF">
      <w:pPr>
        <w:rPr>
          <w:rFonts w:ascii="Times New Roman" w:hAnsi="Times New Roman" w:cs="Times New Roman"/>
        </w:rPr>
      </w:pPr>
      <w:r w:rsidRPr="007C56DF">
        <w:rPr>
          <w:rFonts w:ascii="Times New Roman" w:hAnsi="Times New Roman" w:cs="Times New Roman"/>
        </w:rPr>
        <w:t>C</w:t>
      </w:r>
      <w:r w:rsidR="000B11B5" w:rsidRPr="007C56DF">
        <w:rPr>
          <w:rFonts w:ascii="Times New Roman" w:hAnsi="Times New Roman" w:cs="Times New Roman"/>
        </w:rPr>
        <w:t xml:space="preserve">urrent research </w:t>
      </w:r>
      <w:r w:rsidRPr="007C56DF">
        <w:rPr>
          <w:rFonts w:ascii="Times New Roman" w:hAnsi="Times New Roman" w:cs="Times New Roman"/>
        </w:rPr>
        <w:t>should inform the</w:t>
      </w:r>
      <w:r w:rsidR="000B11B5" w:rsidRPr="007C56DF">
        <w:rPr>
          <w:rFonts w:ascii="Times New Roman" w:hAnsi="Times New Roman" w:cs="Times New Roman"/>
        </w:rPr>
        <w:t xml:space="preserve"> design </w:t>
      </w:r>
      <w:r w:rsidRPr="007C56DF">
        <w:rPr>
          <w:rFonts w:ascii="Times New Roman" w:hAnsi="Times New Roman" w:cs="Times New Roman"/>
        </w:rPr>
        <w:t xml:space="preserve">of </w:t>
      </w:r>
      <w:r w:rsidR="000B11B5" w:rsidRPr="007C56DF">
        <w:rPr>
          <w:rFonts w:ascii="Times New Roman" w:hAnsi="Times New Roman" w:cs="Times New Roman"/>
        </w:rPr>
        <w:t>school</w:t>
      </w:r>
      <w:r w:rsidRPr="007C56DF">
        <w:rPr>
          <w:rFonts w:ascii="Times New Roman" w:hAnsi="Times New Roman" w:cs="Times New Roman"/>
        </w:rPr>
        <w:t xml:space="preserve">ing practices to </w:t>
      </w:r>
      <w:r w:rsidR="000B11B5" w:rsidRPr="007C56DF">
        <w:rPr>
          <w:rFonts w:ascii="Times New Roman" w:hAnsi="Times New Roman" w:cs="Times New Roman"/>
        </w:rPr>
        <w:t>acknowledge and address the diverse demograph</w:t>
      </w:r>
      <w:r w:rsidR="00152635" w:rsidRPr="007C56DF">
        <w:rPr>
          <w:rFonts w:ascii="Times New Roman" w:hAnsi="Times New Roman" w:cs="Times New Roman"/>
        </w:rPr>
        <w:t>y</w:t>
      </w:r>
      <w:r w:rsidR="000B11B5" w:rsidRPr="007C56DF">
        <w:rPr>
          <w:rFonts w:ascii="Times New Roman" w:hAnsi="Times New Roman" w:cs="Times New Roman"/>
        </w:rPr>
        <w:t xml:space="preserve"> of our student populations.</w:t>
      </w:r>
      <w:r w:rsidR="00152635" w:rsidRPr="007C56DF">
        <w:rPr>
          <w:rFonts w:ascii="Times New Roman" w:hAnsi="Times New Roman" w:cs="Times New Roman"/>
        </w:rPr>
        <w:t xml:space="preserve">  </w:t>
      </w:r>
      <w:r w:rsidRPr="007C56DF">
        <w:rPr>
          <w:rFonts w:ascii="Times New Roman" w:hAnsi="Times New Roman" w:cs="Times New Roman"/>
        </w:rPr>
        <w:t xml:space="preserve">Moreover, </w:t>
      </w:r>
      <w:r w:rsidR="00152635" w:rsidRPr="007C56DF">
        <w:rPr>
          <w:rFonts w:ascii="Times New Roman" w:hAnsi="Times New Roman" w:cs="Times New Roman"/>
        </w:rPr>
        <w:t>education policy</w:t>
      </w:r>
      <w:r w:rsidR="005236C8" w:rsidRPr="007C56DF">
        <w:rPr>
          <w:rFonts w:ascii="Times New Roman" w:hAnsi="Times New Roman" w:cs="Times New Roman"/>
        </w:rPr>
        <w:t xml:space="preserve"> should</w:t>
      </w:r>
      <w:r w:rsidR="00152635" w:rsidRPr="007C56DF">
        <w:rPr>
          <w:rFonts w:ascii="Times New Roman" w:hAnsi="Times New Roman" w:cs="Times New Roman"/>
        </w:rPr>
        <w:t xml:space="preserve"> require schools and school district</w:t>
      </w:r>
      <w:r w:rsidR="005236C8" w:rsidRPr="007C56DF">
        <w:rPr>
          <w:rFonts w:ascii="Times New Roman" w:hAnsi="Times New Roman" w:cs="Times New Roman"/>
        </w:rPr>
        <w:t>s</w:t>
      </w:r>
      <w:r w:rsidR="00152635" w:rsidRPr="007C56DF">
        <w:rPr>
          <w:rFonts w:ascii="Times New Roman" w:hAnsi="Times New Roman" w:cs="Times New Roman"/>
        </w:rPr>
        <w:t xml:space="preserve"> </w:t>
      </w:r>
      <w:r w:rsidR="005236C8" w:rsidRPr="007C56DF">
        <w:rPr>
          <w:rFonts w:ascii="Times New Roman" w:hAnsi="Times New Roman" w:cs="Times New Roman"/>
        </w:rPr>
        <w:t xml:space="preserve">to </w:t>
      </w:r>
      <w:r w:rsidR="00152635" w:rsidRPr="007C56DF">
        <w:rPr>
          <w:rFonts w:ascii="Times New Roman" w:hAnsi="Times New Roman" w:cs="Times New Roman"/>
        </w:rPr>
        <w:t>assess</w:t>
      </w:r>
      <w:r w:rsidR="005236C8" w:rsidRPr="007C56DF">
        <w:rPr>
          <w:rFonts w:ascii="Times New Roman" w:hAnsi="Times New Roman" w:cs="Times New Roman"/>
        </w:rPr>
        <w:t xml:space="preserve"> and report</w:t>
      </w:r>
      <w:r w:rsidR="00152635" w:rsidRPr="007C56DF">
        <w:rPr>
          <w:rFonts w:ascii="Times New Roman" w:hAnsi="Times New Roman" w:cs="Times New Roman"/>
        </w:rPr>
        <w:t xml:space="preserve"> what is taught.  Setting standards and assessments based on a generic view of what should be taught does not allow schools and school districts to do the development work needed to improve based on what they currently produce.  Professionals need complete data to change practice in substantive ways.  Local schools and districts do not have the capacity to design, develop and implement their own data systems.  We </w:t>
      </w:r>
      <w:r w:rsidR="00152635" w:rsidRPr="007C56DF">
        <w:rPr>
          <w:rFonts w:ascii="Times New Roman" w:hAnsi="Times New Roman" w:cs="Times New Roman"/>
        </w:rPr>
        <w:lastRenderedPageBreak/>
        <w:t>need a data infrastructure that is flexible enough to measure outputs in a number of ways.  In this section, we make a case that rewarding excellence in teacher preparation must go beyond the contemporary self-study method of accreditation.  Programs differentiate based on the teachers they produce.  Let</w:t>
      </w:r>
      <w:r w:rsidR="00B910D4" w:rsidRPr="007C56DF">
        <w:rPr>
          <w:rFonts w:ascii="Times New Roman" w:hAnsi="Times New Roman" w:cs="Times New Roman"/>
        </w:rPr>
        <w:t xml:space="preserve"> u</w:t>
      </w:r>
      <w:r w:rsidR="00152635" w:rsidRPr="007C56DF">
        <w:rPr>
          <w:rFonts w:ascii="Times New Roman" w:hAnsi="Times New Roman" w:cs="Times New Roman"/>
        </w:rPr>
        <w:t>s make that explicit</w:t>
      </w:r>
      <w:r w:rsidR="00A50204" w:rsidRPr="007C56DF">
        <w:rPr>
          <w:rFonts w:ascii="Times New Roman" w:hAnsi="Times New Roman" w:cs="Times New Roman"/>
        </w:rPr>
        <w:t xml:space="preserve"> through the way that we assess</w:t>
      </w:r>
      <w:r w:rsidR="005F77C5" w:rsidRPr="007C56DF">
        <w:rPr>
          <w:rFonts w:ascii="Times New Roman" w:hAnsi="Times New Roman" w:cs="Times New Roman"/>
        </w:rPr>
        <w:t>.</w:t>
      </w:r>
      <w:r w:rsidR="00152635" w:rsidRPr="007C56DF">
        <w:rPr>
          <w:rFonts w:ascii="Times New Roman" w:hAnsi="Times New Roman" w:cs="Times New Roman"/>
        </w:rPr>
        <w:t xml:space="preserve"> Finally, we live in a time of constant knowledge generation and mobilization.  Teacher education needs to prepare educators w</w:t>
      </w:r>
      <w:r w:rsidR="00A50204" w:rsidRPr="007C56DF">
        <w:rPr>
          <w:rFonts w:ascii="Times New Roman" w:hAnsi="Times New Roman" w:cs="Times New Roman"/>
        </w:rPr>
        <w:t>ho are teaching for a future of increasing diversity and a demand for curating information</w:t>
      </w:r>
      <w:r w:rsidR="00152635" w:rsidRPr="007C56DF">
        <w:rPr>
          <w:rFonts w:ascii="Times New Roman" w:hAnsi="Times New Roman" w:cs="Times New Roman"/>
        </w:rPr>
        <w:t xml:space="preserve">.  In this section, we explore these policy levers and the data that support their implementation.  </w:t>
      </w:r>
    </w:p>
    <w:p w14:paraId="763ABD8F" w14:textId="6246526A" w:rsidR="00D702A5" w:rsidRPr="007C56DF" w:rsidRDefault="00D671D1" w:rsidP="007C56DF">
      <w:pPr>
        <w:pStyle w:val="Heading2"/>
        <w:ind w:firstLine="720"/>
        <w:rPr>
          <w:rFonts w:ascii="Times New Roman" w:hAnsi="Times New Roman" w:cs="Times New Roman"/>
          <w:b w:val="0"/>
        </w:rPr>
      </w:pPr>
      <w:r w:rsidRPr="007C56DF">
        <w:rPr>
          <w:rFonts w:ascii="Times New Roman" w:hAnsi="Times New Roman" w:cs="Times New Roman"/>
        </w:rPr>
        <w:t>Invest i</w:t>
      </w:r>
      <w:r w:rsidR="002273CC" w:rsidRPr="007C56DF">
        <w:rPr>
          <w:rFonts w:ascii="Times New Roman" w:hAnsi="Times New Roman" w:cs="Times New Roman"/>
        </w:rPr>
        <w:t>n</w:t>
      </w:r>
      <w:r w:rsidRPr="007C56DF">
        <w:rPr>
          <w:rFonts w:ascii="Times New Roman" w:hAnsi="Times New Roman" w:cs="Times New Roman"/>
        </w:rPr>
        <w:t xml:space="preserve"> </w:t>
      </w:r>
      <w:r w:rsidR="00E70529" w:rsidRPr="007C56DF">
        <w:rPr>
          <w:rFonts w:ascii="Times New Roman" w:hAnsi="Times New Roman" w:cs="Times New Roman"/>
        </w:rPr>
        <w:t>p</w:t>
      </w:r>
      <w:r w:rsidRPr="007C56DF">
        <w:rPr>
          <w:rFonts w:ascii="Times New Roman" w:hAnsi="Times New Roman" w:cs="Times New Roman"/>
        </w:rPr>
        <w:t xml:space="preserve">rofessional </w:t>
      </w:r>
      <w:r w:rsidR="00E70529" w:rsidRPr="007C56DF">
        <w:rPr>
          <w:rFonts w:ascii="Times New Roman" w:hAnsi="Times New Roman" w:cs="Times New Roman"/>
        </w:rPr>
        <w:t>t</w:t>
      </w:r>
      <w:r w:rsidRPr="007C56DF">
        <w:rPr>
          <w:rFonts w:ascii="Times New Roman" w:hAnsi="Times New Roman" w:cs="Times New Roman"/>
        </w:rPr>
        <w:t>eachers</w:t>
      </w:r>
      <w:r w:rsidR="00AA5C62" w:rsidRPr="007C56DF">
        <w:rPr>
          <w:rFonts w:ascii="Times New Roman" w:hAnsi="Times New Roman" w:cs="Times New Roman"/>
        </w:rPr>
        <w:t xml:space="preserve">. </w:t>
      </w:r>
      <w:r w:rsidRPr="007C56DF">
        <w:rPr>
          <w:rFonts w:ascii="Times New Roman" w:hAnsi="Times New Roman" w:cs="Times New Roman"/>
          <w:b w:val="0"/>
        </w:rPr>
        <w:t xml:space="preserve">As teaching becomes an increasingly complex and multifaceted profession with an increasingly knowledge-rich curriculum, burgeoning diversity in the student population, and an emphasis on accountability for investment, it requires highly skilled professionals. Yet, teachers’ salaries remain substantially lower than many other career options. </w:t>
      </w:r>
      <w:r w:rsidR="00A44E50" w:rsidRPr="007C56DF">
        <w:rPr>
          <w:rFonts w:ascii="Times New Roman" w:hAnsi="Times New Roman" w:cs="Times New Roman"/>
          <w:b w:val="0"/>
        </w:rPr>
        <w:t xml:space="preserve">The Economic Policy Institute found that public school teachers earned about 12% less per week than comparable fields in 2010 (Allegretto, Corcoran, </w:t>
      </w:r>
      <w:r w:rsidR="00A920E0" w:rsidRPr="007C56DF">
        <w:rPr>
          <w:rFonts w:ascii="Times New Roman" w:hAnsi="Times New Roman" w:cs="Times New Roman"/>
          <w:b w:val="0"/>
        </w:rPr>
        <w:t xml:space="preserve">&amp; </w:t>
      </w:r>
      <w:r w:rsidR="00A44E50" w:rsidRPr="007C56DF">
        <w:rPr>
          <w:rFonts w:ascii="Times New Roman" w:hAnsi="Times New Roman" w:cs="Times New Roman"/>
          <w:b w:val="0"/>
        </w:rPr>
        <w:t>Mishel, L., 2011).</w:t>
      </w:r>
      <w:r w:rsidRPr="007C56DF">
        <w:rPr>
          <w:rFonts w:ascii="Times New Roman" w:hAnsi="Times New Roman" w:cs="Times New Roman"/>
          <w:b w:val="0"/>
        </w:rPr>
        <w:t xml:space="preserve"> The average starting pay of a teacher in the United States is about $35,672 for a </w:t>
      </w:r>
      <w:r w:rsidR="005C2403" w:rsidRPr="007C56DF">
        <w:rPr>
          <w:rFonts w:ascii="Times New Roman" w:hAnsi="Times New Roman" w:cs="Times New Roman"/>
          <w:b w:val="0"/>
        </w:rPr>
        <w:t>nine-month</w:t>
      </w:r>
      <w:r w:rsidRPr="007C56DF">
        <w:rPr>
          <w:rFonts w:ascii="Times New Roman" w:hAnsi="Times New Roman" w:cs="Times New Roman"/>
          <w:b w:val="0"/>
        </w:rPr>
        <w:t xml:space="preserve"> salary, about $47, 565 on an annual, </w:t>
      </w:r>
      <w:r w:rsidR="00BF6F9A" w:rsidRPr="007C56DF">
        <w:rPr>
          <w:rFonts w:ascii="Times New Roman" w:hAnsi="Times New Roman" w:cs="Times New Roman"/>
          <w:b w:val="0"/>
        </w:rPr>
        <w:t>12-month</w:t>
      </w:r>
      <w:r w:rsidRPr="007C56DF">
        <w:rPr>
          <w:rFonts w:ascii="Times New Roman" w:hAnsi="Times New Roman" w:cs="Times New Roman"/>
          <w:b w:val="0"/>
        </w:rPr>
        <w:t xml:space="preserve"> salary (</w:t>
      </w:r>
      <w:r w:rsidR="00A50204" w:rsidRPr="007C56DF">
        <w:rPr>
          <w:rFonts w:ascii="Times New Roman" w:hAnsi="Times New Roman" w:cs="Times New Roman"/>
          <w:b w:val="0"/>
        </w:rPr>
        <w:t>NEA Collective Bargaining, 2012</w:t>
      </w:r>
      <w:r w:rsidRPr="007C56DF">
        <w:rPr>
          <w:rFonts w:ascii="Times New Roman" w:hAnsi="Times New Roman" w:cs="Times New Roman"/>
          <w:b w:val="0"/>
        </w:rPr>
        <w:t xml:space="preserve">).  The average annual starting salary of a commissioned officer in the military, someone with a bachelor’s degree and preparation for the profession, is about $46,000 per year for a </w:t>
      </w:r>
      <w:r w:rsidR="00BF6F9A" w:rsidRPr="007C56DF">
        <w:rPr>
          <w:rFonts w:ascii="Times New Roman" w:hAnsi="Times New Roman" w:cs="Times New Roman"/>
          <w:b w:val="0"/>
        </w:rPr>
        <w:t>12-month</w:t>
      </w:r>
      <w:r w:rsidRPr="007C56DF">
        <w:rPr>
          <w:rFonts w:ascii="Times New Roman" w:hAnsi="Times New Roman" w:cs="Times New Roman"/>
          <w:b w:val="0"/>
        </w:rPr>
        <w:t xml:space="preserve"> salary (</w:t>
      </w:r>
      <w:r w:rsidR="00A50204" w:rsidRPr="007C56DF">
        <w:rPr>
          <w:rFonts w:ascii="Times New Roman" w:hAnsi="Times New Roman" w:cs="Times New Roman"/>
          <w:b w:val="0"/>
        </w:rPr>
        <w:t>Powers, 2012</w:t>
      </w:r>
      <w:r w:rsidRPr="007C56DF">
        <w:rPr>
          <w:rFonts w:ascii="Times New Roman" w:hAnsi="Times New Roman" w:cs="Times New Roman"/>
          <w:b w:val="0"/>
        </w:rPr>
        <w:t>), including housing and basic subsistence stipends.  In additional all health care is free.   In 10 years, the teacher will make about $52,000 for 9 months of work, the officer about $94, 000 plus contin</w:t>
      </w:r>
      <w:r w:rsidR="00A50204" w:rsidRPr="007C56DF">
        <w:rPr>
          <w:rFonts w:ascii="Times New Roman" w:hAnsi="Times New Roman" w:cs="Times New Roman"/>
          <w:b w:val="0"/>
        </w:rPr>
        <w:t>ued access to free health care</w:t>
      </w:r>
      <w:r w:rsidR="000023BE" w:rsidRPr="007C56DF">
        <w:rPr>
          <w:rFonts w:ascii="Times New Roman" w:hAnsi="Times New Roman" w:cs="Times New Roman"/>
          <w:b w:val="0"/>
        </w:rPr>
        <w:t xml:space="preserve">.   A lawyer starts, on average, </w:t>
      </w:r>
      <w:r w:rsidRPr="007C56DF">
        <w:rPr>
          <w:rFonts w:ascii="Times New Roman" w:hAnsi="Times New Roman" w:cs="Times New Roman"/>
          <w:b w:val="0"/>
        </w:rPr>
        <w:t>at about $63,000 with three years of graduate school and passage of the state bar exam</w:t>
      </w:r>
      <w:r w:rsidR="000023BE" w:rsidRPr="007C56DF">
        <w:rPr>
          <w:rFonts w:ascii="Times New Roman" w:hAnsi="Times New Roman" w:cs="Times New Roman"/>
          <w:b w:val="0"/>
        </w:rPr>
        <w:t xml:space="preserve"> (NALP, 2013)</w:t>
      </w:r>
      <w:r w:rsidRPr="007C56DF">
        <w:rPr>
          <w:rFonts w:ascii="Times New Roman" w:hAnsi="Times New Roman" w:cs="Times New Roman"/>
          <w:b w:val="0"/>
        </w:rPr>
        <w:t>.  With a bachelor’s degree in engineering, the starting salary is about $6</w:t>
      </w:r>
      <w:r w:rsidR="000023BE" w:rsidRPr="007C56DF">
        <w:rPr>
          <w:rFonts w:ascii="Times New Roman" w:hAnsi="Times New Roman" w:cs="Times New Roman"/>
          <w:b w:val="0"/>
        </w:rPr>
        <w:t>2</w:t>
      </w:r>
      <w:r w:rsidRPr="007C56DF">
        <w:rPr>
          <w:rFonts w:ascii="Times New Roman" w:hAnsi="Times New Roman" w:cs="Times New Roman"/>
          <w:b w:val="0"/>
        </w:rPr>
        <w:t>,000 while computer scien</w:t>
      </w:r>
      <w:r w:rsidR="000023BE" w:rsidRPr="007C56DF">
        <w:rPr>
          <w:rFonts w:ascii="Times New Roman" w:hAnsi="Times New Roman" w:cs="Times New Roman"/>
          <w:b w:val="0"/>
        </w:rPr>
        <w:t xml:space="preserve">ce graduates can </w:t>
      </w:r>
      <w:r w:rsidR="000023BE" w:rsidRPr="007C56DF">
        <w:rPr>
          <w:rFonts w:ascii="Times New Roman" w:hAnsi="Times New Roman" w:cs="Times New Roman"/>
          <w:b w:val="0"/>
        </w:rPr>
        <w:lastRenderedPageBreak/>
        <w:t>expect about $58</w:t>
      </w:r>
      <w:r w:rsidRPr="007C56DF">
        <w:rPr>
          <w:rFonts w:ascii="Times New Roman" w:hAnsi="Times New Roman" w:cs="Times New Roman"/>
          <w:b w:val="0"/>
        </w:rPr>
        <w:t>,000</w:t>
      </w:r>
      <w:r w:rsidR="000023BE" w:rsidRPr="007C56DF">
        <w:rPr>
          <w:rFonts w:ascii="Times New Roman" w:hAnsi="Times New Roman" w:cs="Times New Roman"/>
          <w:b w:val="0"/>
        </w:rPr>
        <w:t xml:space="preserve"> (Adams, 2013)</w:t>
      </w:r>
      <w:r w:rsidRPr="007C56DF">
        <w:rPr>
          <w:rFonts w:ascii="Times New Roman" w:hAnsi="Times New Roman" w:cs="Times New Roman"/>
          <w:b w:val="0"/>
        </w:rPr>
        <w:t>.  Only Humanities and Social Science undergraduate degrees are worth less on the job</w:t>
      </w:r>
      <w:r w:rsidR="00D702A5" w:rsidRPr="007C56DF">
        <w:rPr>
          <w:rFonts w:ascii="Times New Roman" w:hAnsi="Times New Roman" w:cs="Times New Roman"/>
          <w:b w:val="0"/>
        </w:rPr>
        <w:t xml:space="preserve"> market than teaching degrees. </w:t>
      </w:r>
    </w:p>
    <w:p w14:paraId="4A8343DB" w14:textId="77777777" w:rsidR="00A839FE" w:rsidRPr="007C56DF" w:rsidRDefault="00D671D1" w:rsidP="007C56DF">
      <w:pPr>
        <w:rPr>
          <w:rFonts w:ascii="Times New Roman" w:hAnsi="Times New Roman" w:cs="Times New Roman"/>
        </w:rPr>
      </w:pPr>
      <w:r w:rsidRPr="007C56DF">
        <w:rPr>
          <w:rFonts w:ascii="Times New Roman" w:hAnsi="Times New Roman" w:cs="Times New Roman"/>
        </w:rPr>
        <w:t>Salaries are an important driver of increasing the quality of the teacher workforce.  They help increase the number of applicants who want to enter the profession. And, they help to keep teachers even as they struggle through the notoriously difficult first years of the profession (Clotfelder, Glennie, Ladd, &amp; Vigdor, 2006).  In Singapore, one of the countries ranked in the top 3 on the PISA comparison, teachers report that three things keep them in the profession at an astonishing</w:t>
      </w:r>
      <w:r w:rsidR="00052652" w:rsidRPr="007C56DF">
        <w:rPr>
          <w:rFonts w:ascii="Times New Roman" w:hAnsi="Times New Roman" w:cs="Times New Roman"/>
        </w:rPr>
        <w:t>ly low</w:t>
      </w:r>
      <w:r w:rsidRPr="007C56DF">
        <w:rPr>
          <w:rFonts w:ascii="Times New Roman" w:hAnsi="Times New Roman" w:cs="Times New Roman"/>
        </w:rPr>
        <w:t xml:space="preserve"> attrition rate of three percent, </w:t>
      </w:r>
      <w:r w:rsidRPr="00452BCF">
        <w:rPr>
          <w:rFonts w:ascii="Times New Roman" w:hAnsi="Times New Roman" w:cs="Times New Roman"/>
        </w:rPr>
        <w:t>half of what the U.S. experiences.</w:t>
      </w:r>
      <w:r w:rsidRPr="007C56DF">
        <w:rPr>
          <w:rFonts w:ascii="Times New Roman" w:hAnsi="Times New Roman" w:cs="Times New Roman"/>
        </w:rPr>
        <w:t xml:space="preserve">  The first is compensation indexed against other professions to offer generous </w:t>
      </w:r>
      <w:r w:rsidR="00052652" w:rsidRPr="007C56DF">
        <w:rPr>
          <w:rFonts w:ascii="Times New Roman" w:hAnsi="Times New Roman" w:cs="Times New Roman"/>
        </w:rPr>
        <w:t>salaries</w:t>
      </w:r>
      <w:r w:rsidRPr="007C56DF">
        <w:rPr>
          <w:rFonts w:ascii="Times New Roman" w:hAnsi="Times New Roman" w:cs="Times New Roman"/>
        </w:rPr>
        <w:t xml:space="preserve">, the second is a range of professional and career development opportunities, and the third is a strong sense of mission and positive culture in their workplace (Darling-Hammond, 2013).  </w:t>
      </w:r>
    </w:p>
    <w:p w14:paraId="682E5B2A" w14:textId="28CF08EB" w:rsidR="00D671D1" w:rsidRPr="007C56DF" w:rsidRDefault="00D671D1" w:rsidP="007C56DF">
      <w:pPr>
        <w:rPr>
          <w:rFonts w:ascii="Times New Roman" w:hAnsi="Times New Roman" w:cs="Times New Roman"/>
        </w:rPr>
      </w:pPr>
      <w:r w:rsidRPr="007C56DF">
        <w:rPr>
          <w:rFonts w:ascii="Times New Roman" w:hAnsi="Times New Roman" w:cs="Times New Roman"/>
        </w:rPr>
        <w:t xml:space="preserve">However, funding alone, through teachers’ salaries and overall investments in public education does not correlate perfectly with the best performance on assessments like NAEP.  </w:t>
      </w:r>
      <w:r w:rsidR="000023BE" w:rsidRPr="007C56DF">
        <w:rPr>
          <w:rFonts w:ascii="Times New Roman" w:hAnsi="Times New Roman" w:cs="Times New Roman"/>
        </w:rPr>
        <w:t xml:space="preserve">For instance, </w:t>
      </w:r>
      <w:r w:rsidRPr="007C56DF">
        <w:rPr>
          <w:rFonts w:ascii="Times New Roman" w:hAnsi="Times New Roman" w:cs="Times New Roman"/>
        </w:rPr>
        <w:t xml:space="preserve">Colorado ranks nears the bottom in terms of spending per student but produces better than average student performance on the NAEP.  Salaries remain a substantive lever of systemic change but are not likely alone to sustain substantive improvements in school outcomes. Pay that is competitive with other, valued professions and career ladders that offer pathways to increasing responsibilities and leadership are essential levers for substantive improvement in educational outcomes.  Investments in this area have implications for the caliber of entrants to the field and hold promise for reducing attrition rates.  </w:t>
      </w:r>
      <w:r w:rsidR="00FD3456" w:rsidRPr="007C56DF">
        <w:rPr>
          <w:rFonts w:ascii="Times New Roman" w:hAnsi="Times New Roman" w:cs="Times New Roman"/>
        </w:rPr>
        <w:t>Yet, we have work to do to ensure that salaries reflect the differential impact that teachers have on their students’ performance and future career success (Hanuschek, 2010).</w:t>
      </w:r>
    </w:p>
    <w:p w14:paraId="556C37FE" w14:textId="58A17269" w:rsidR="00D671D1" w:rsidRPr="007C56DF" w:rsidRDefault="00D671D1" w:rsidP="007C56DF">
      <w:pPr>
        <w:pStyle w:val="Heading2"/>
        <w:ind w:firstLine="720"/>
        <w:rPr>
          <w:rFonts w:ascii="Times New Roman" w:hAnsi="Times New Roman" w:cs="Times New Roman"/>
          <w:b w:val="0"/>
        </w:rPr>
      </w:pPr>
      <w:r w:rsidRPr="007C56DF">
        <w:rPr>
          <w:rFonts w:ascii="Times New Roman" w:hAnsi="Times New Roman" w:cs="Times New Roman"/>
        </w:rPr>
        <w:lastRenderedPageBreak/>
        <w:t xml:space="preserve">Equip </w:t>
      </w:r>
      <w:r w:rsidR="00641426" w:rsidRPr="007C56DF">
        <w:rPr>
          <w:rFonts w:ascii="Times New Roman" w:hAnsi="Times New Roman" w:cs="Times New Roman"/>
        </w:rPr>
        <w:t xml:space="preserve">ALL </w:t>
      </w:r>
      <w:r w:rsidR="00E70529" w:rsidRPr="007C56DF">
        <w:rPr>
          <w:rFonts w:ascii="Times New Roman" w:hAnsi="Times New Roman" w:cs="Times New Roman"/>
        </w:rPr>
        <w:t>p</w:t>
      </w:r>
      <w:r w:rsidRPr="007C56DF">
        <w:rPr>
          <w:rFonts w:ascii="Times New Roman" w:hAnsi="Times New Roman" w:cs="Times New Roman"/>
        </w:rPr>
        <w:t xml:space="preserve">ractice </w:t>
      </w:r>
      <w:r w:rsidR="00E70529" w:rsidRPr="007C56DF">
        <w:rPr>
          <w:rFonts w:ascii="Times New Roman" w:hAnsi="Times New Roman" w:cs="Times New Roman"/>
        </w:rPr>
        <w:t>c</w:t>
      </w:r>
      <w:r w:rsidRPr="007C56DF">
        <w:rPr>
          <w:rFonts w:ascii="Times New Roman" w:hAnsi="Times New Roman" w:cs="Times New Roman"/>
        </w:rPr>
        <w:t>ontexts</w:t>
      </w:r>
      <w:r w:rsidR="00AA5C62" w:rsidRPr="007C56DF">
        <w:rPr>
          <w:rFonts w:ascii="Times New Roman" w:hAnsi="Times New Roman" w:cs="Times New Roman"/>
        </w:rPr>
        <w:t xml:space="preserve">. </w:t>
      </w:r>
      <w:r w:rsidRPr="007C56DF">
        <w:rPr>
          <w:rFonts w:ascii="Times New Roman" w:hAnsi="Times New Roman" w:cs="Times New Roman"/>
          <w:b w:val="0"/>
        </w:rPr>
        <w:t>The very best teachers cannot employ their full range of skills and knowledge in schools where inadequate, inappropriate, and outdated curricular materials and lack of technologies for learning exist (</w:t>
      </w:r>
      <w:r w:rsidR="00FB7AFC" w:rsidRPr="007C56DF">
        <w:rPr>
          <w:rFonts w:ascii="Times New Roman" w:hAnsi="Times New Roman" w:cs="Times New Roman"/>
          <w:b w:val="0"/>
        </w:rPr>
        <w:t>Darling</w:t>
      </w:r>
      <w:r w:rsidR="00580D79" w:rsidRPr="007C56DF">
        <w:rPr>
          <w:rFonts w:ascii="Times New Roman" w:hAnsi="Times New Roman" w:cs="Times New Roman"/>
          <w:b w:val="0"/>
        </w:rPr>
        <w:t>-H</w:t>
      </w:r>
      <w:r w:rsidR="00FB7AFC" w:rsidRPr="007C56DF">
        <w:rPr>
          <w:rFonts w:ascii="Times New Roman" w:hAnsi="Times New Roman" w:cs="Times New Roman"/>
          <w:b w:val="0"/>
        </w:rPr>
        <w:t>ammond, 2014</w:t>
      </w:r>
      <w:r w:rsidRPr="007C56DF">
        <w:rPr>
          <w:rFonts w:ascii="Times New Roman" w:hAnsi="Times New Roman" w:cs="Times New Roman"/>
          <w:b w:val="0"/>
        </w:rPr>
        <w:t>). Schools must be safe, physically and socially, to build on intellectual and professional capital (</w:t>
      </w:r>
      <w:r w:rsidR="006C0EA0" w:rsidRPr="007C56DF">
        <w:rPr>
          <w:rFonts w:ascii="Times New Roman" w:hAnsi="Times New Roman" w:cs="Times New Roman"/>
          <w:b w:val="0"/>
        </w:rPr>
        <w:t>Cornell &amp; Mayer, 2010</w:t>
      </w:r>
      <w:r w:rsidRPr="007C56DF">
        <w:rPr>
          <w:rFonts w:ascii="Times New Roman" w:hAnsi="Times New Roman" w:cs="Times New Roman"/>
          <w:b w:val="0"/>
        </w:rPr>
        <w:t xml:space="preserve">).  </w:t>
      </w:r>
      <w:r w:rsidR="00EE3474" w:rsidRPr="007C56DF">
        <w:rPr>
          <w:rFonts w:ascii="Times New Roman" w:hAnsi="Times New Roman" w:cs="Times New Roman"/>
          <w:b w:val="0"/>
        </w:rPr>
        <w:t xml:space="preserve">Students and teachers should learn and teach in schools where </w:t>
      </w:r>
      <w:r w:rsidRPr="007C56DF">
        <w:rPr>
          <w:rFonts w:ascii="Times New Roman" w:hAnsi="Times New Roman" w:cs="Times New Roman"/>
          <w:b w:val="0"/>
        </w:rPr>
        <w:t>heat, air conditioning, water, functioning lavatories, and high speed internet access are accessible in every school.  These are fundamental to effective work environments.  For example, one of the great engines of economic development in the southern tier of states was the advent of air conditioning that made it possible for centers of business enterprise to flourish (</w:t>
      </w:r>
      <w:r w:rsidR="005B6AB8" w:rsidRPr="007C56DF">
        <w:rPr>
          <w:rFonts w:ascii="Times New Roman" w:hAnsi="Times New Roman" w:cs="Times New Roman"/>
          <w:b w:val="0"/>
        </w:rPr>
        <w:t>Arsenault, 1984</w:t>
      </w:r>
      <w:r w:rsidRPr="007C56DF">
        <w:rPr>
          <w:rFonts w:ascii="Times New Roman" w:hAnsi="Times New Roman" w:cs="Times New Roman"/>
          <w:b w:val="0"/>
        </w:rPr>
        <w:t xml:space="preserve">).  Yet, in the Mississippi Delta in 2014, there are entire school systems without air conditioning in their classrooms, as there are in many other communities and states throughout the nation.  Imagine a group of 30 children in 90 degree </w:t>
      </w:r>
      <w:r w:rsidR="005B6AB8" w:rsidRPr="007C56DF">
        <w:rPr>
          <w:rFonts w:ascii="Times New Roman" w:hAnsi="Times New Roman" w:cs="Times New Roman"/>
          <w:b w:val="0"/>
        </w:rPr>
        <w:t xml:space="preserve">Fahrenheit </w:t>
      </w:r>
      <w:r w:rsidRPr="007C56DF">
        <w:rPr>
          <w:rFonts w:ascii="Times New Roman" w:hAnsi="Times New Roman" w:cs="Times New Roman"/>
          <w:b w:val="0"/>
        </w:rPr>
        <w:t xml:space="preserve">temperatures and humidity indexes focusing on the learning the simple algorithms of multiplication and division.   Think of the same lesson being taught in Fort Leavenworth Public Schools in temperature controlled buildings, insulated from the sweltering temperatures outside.  The lesson becomes a heroic effort for the teacher in one setting; in the other, work that can be sustained without draining cognitive load to attend to physical comfort.  </w:t>
      </w:r>
    </w:p>
    <w:p w14:paraId="0F1F9D3A" w14:textId="1AEE2D78" w:rsidR="00B13333" w:rsidRPr="007C56DF" w:rsidRDefault="00D671D1" w:rsidP="007C56DF">
      <w:pPr>
        <w:rPr>
          <w:rFonts w:ascii="Times New Roman" w:hAnsi="Times New Roman" w:cs="Times New Roman"/>
        </w:rPr>
      </w:pPr>
      <w:r w:rsidRPr="007C56DF">
        <w:rPr>
          <w:rFonts w:ascii="Times New Roman" w:hAnsi="Times New Roman" w:cs="Times New Roman"/>
        </w:rPr>
        <w:t>Measuring learning outputs of schools that lack fundamental resources makes little sense</w:t>
      </w:r>
      <w:r w:rsidR="005B6AB8" w:rsidRPr="007C56DF">
        <w:rPr>
          <w:rFonts w:ascii="Times New Roman" w:hAnsi="Times New Roman" w:cs="Times New Roman"/>
        </w:rPr>
        <w:t xml:space="preserve">, </w:t>
      </w:r>
      <w:r w:rsidR="00973CE7" w:rsidRPr="007C56DF">
        <w:rPr>
          <w:rFonts w:ascii="Times New Roman" w:hAnsi="Times New Roman" w:cs="Times New Roman"/>
        </w:rPr>
        <w:t>yet</w:t>
      </w:r>
      <w:r w:rsidR="005F1DDF" w:rsidRPr="007C56DF">
        <w:rPr>
          <w:rFonts w:ascii="Times New Roman" w:hAnsi="Times New Roman" w:cs="Times New Roman"/>
        </w:rPr>
        <w:t xml:space="preserve"> </w:t>
      </w:r>
      <w:r w:rsidR="005B6AB8" w:rsidRPr="007C56DF">
        <w:rPr>
          <w:rFonts w:ascii="Times New Roman" w:hAnsi="Times New Roman" w:cs="Times New Roman"/>
        </w:rPr>
        <w:t xml:space="preserve">our </w:t>
      </w:r>
      <w:r w:rsidRPr="007C56DF">
        <w:rPr>
          <w:rFonts w:ascii="Times New Roman" w:hAnsi="Times New Roman" w:cs="Times New Roman"/>
        </w:rPr>
        <w:t>current system demands it.</w:t>
      </w:r>
      <w:r w:rsidR="005B6AB8" w:rsidRPr="007C56DF">
        <w:rPr>
          <w:rFonts w:ascii="Times New Roman" w:hAnsi="Times New Roman" w:cs="Times New Roman"/>
        </w:rPr>
        <w:t xml:space="preserve">  The result is a school that fails</w:t>
      </w:r>
      <w:r w:rsidR="005236C8" w:rsidRPr="007C56DF">
        <w:rPr>
          <w:rFonts w:ascii="Times New Roman" w:hAnsi="Times New Roman" w:cs="Times New Roman"/>
        </w:rPr>
        <w:t xml:space="preserve">, </w:t>
      </w:r>
      <w:r w:rsidR="005B6AB8" w:rsidRPr="007C56DF">
        <w:rPr>
          <w:rFonts w:ascii="Times New Roman" w:hAnsi="Times New Roman" w:cs="Times New Roman"/>
        </w:rPr>
        <w:t xml:space="preserve">not the infrastructure and policies that failed to ensure that sufficient materials resources were provided.  </w:t>
      </w:r>
      <w:r w:rsidR="00F26D40" w:rsidRPr="007C56DF">
        <w:rPr>
          <w:rFonts w:ascii="Times New Roman" w:hAnsi="Times New Roman" w:cs="Times New Roman"/>
        </w:rPr>
        <w:t>E</w:t>
      </w:r>
      <w:r w:rsidRPr="007C56DF">
        <w:rPr>
          <w:rFonts w:ascii="Times New Roman" w:hAnsi="Times New Roman" w:cs="Times New Roman"/>
        </w:rPr>
        <w:t>valuation and accountability do</w:t>
      </w:r>
      <w:r w:rsidR="00B13333" w:rsidRPr="007C56DF">
        <w:rPr>
          <w:rFonts w:ascii="Times New Roman" w:hAnsi="Times New Roman" w:cs="Times New Roman"/>
        </w:rPr>
        <w:t xml:space="preserve"> </w:t>
      </w:r>
      <w:r w:rsidRPr="007C56DF">
        <w:rPr>
          <w:rFonts w:ascii="Times New Roman" w:hAnsi="Times New Roman" w:cs="Times New Roman"/>
        </w:rPr>
        <w:t>n</w:t>
      </w:r>
      <w:r w:rsidR="00B13333" w:rsidRPr="007C56DF">
        <w:rPr>
          <w:rFonts w:ascii="Times New Roman" w:hAnsi="Times New Roman" w:cs="Times New Roman"/>
        </w:rPr>
        <w:t>o</w:t>
      </w:r>
      <w:r w:rsidRPr="007C56DF">
        <w:rPr>
          <w:rFonts w:ascii="Times New Roman" w:hAnsi="Times New Roman" w:cs="Times New Roman"/>
        </w:rPr>
        <w:t>t fix a failing system</w:t>
      </w:r>
      <w:r w:rsidR="00F26D40" w:rsidRPr="007C56DF">
        <w:rPr>
          <w:rFonts w:ascii="Times New Roman" w:hAnsi="Times New Roman" w:cs="Times New Roman"/>
        </w:rPr>
        <w:t xml:space="preserve">; they </w:t>
      </w:r>
      <w:r w:rsidR="005B6AB8" w:rsidRPr="007C56DF">
        <w:rPr>
          <w:rFonts w:ascii="Times New Roman" w:hAnsi="Times New Roman" w:cs="Times New Roman"/>
        </w:rPr>
        <w:t xml:space="preserve">could </w:t>
      </w:r>
      <w:r w:rsidR="00F26D40" w:rsidRPr="007C56DF">
        <w:rPr>
          <w:rFonts w:ascii="Times New Roman" w:hAnsi="Times New Roman" w:cs="Times New Roman"/>
        </w:rPr>
        <w:t xml:space="preserve">draw attention and </w:t>
      </w:r>
      <w:r w:rsidR="00EE3474" w:rsidRPr="007C56DF">
        <w:rPr>
          <w:rFonts w:ascii="Times New Roman" w:hAnsi="Times New Roman" w:cs="Times New Roman"/>
        </w:rPr>
        <w:t>ideally</w:t>
      </w:r>
      <w:r w:rsidR="00F26D40" w:rsidRPr="007C56DF">
        <w:rPr>
          <w:rFonts w:ascii="Times New Roman" w:hAnsi="Times New Roman" w:cs="Times New Roman"/>
        </w:rPr>
        <w:t>, resources to improve it</w:t>
      </w:r>
      <w:r w:rsidRPr="007C56DF">
        <w:rPr>
          <w:rFonts w:ascii="Times New Roman" w:hAnsi="Times New Roman" w:cs="Times New Roman"/>
        </w:rPr>
        <w:t xml:space="preserve">. </w:t>
      </w:r>
      <w:r w:rsidR="00EE3474" w:rsidRPr="007C56DF">
        <w:rPr>
          <w:rFonts w:ascii="Times New Roman" w:hAnsi="Times New Roman" w:cs="Times New Roman"/>
        </w:rPr>
        <w:t>However, we know too well that urban and rural schools are under resourced in a number of material ways.  As well, they are often staff</w:t>
      </w:r>
      <w:r w:rsidR="00B13333" w:rsidRPr="007C56DF">
        <w:rPr>
          <w:rFonts w:ascii="Times New Roman" w:hAnsi="Times New Roman" w:cs="Times New Roman"/>
        </w:rPr>
        <w:t>ed</w:t>
      </w:r>
      <w:r w:rsidR="00EE3474" w:rsidRPr="007C56DF">
        <w:rPr>
          <w:rFonts w:ascii="Times New Roman" w:hAnsi="Times New Roman" w:cs="Times New Roman"/>
        </w:rPr>
        <w:t xml:space="preserve"> with </w:t>
      </w:r>
      <w:r w:rsidR="00447950" w:rsidRPr="007C56DF">
        <w:rPr>
          <w:rFonts w:ascii="Times New Roman" w:hAnsi="Times New Roman" w:cs="Times New Roman"/>
        </w:rPr>
        <w:t>novice</w:t>
      </w:r>
      <w:r w:rsidR="00EE3474" w:rsidRPr="007C56DF">
        <w:rPr>
          <w:rFonts w:ascii="Times New Roman" w:hAnsi="Times New Roman" w:cs="Times New Roman"/>
        </w:rPr>
        <w:t xml:space="preserve"> teachers who lack the </w:t>
      </w:r>
      <w:r w:rsidR="00EE3474" w:rsidRPr="007C56DF">
        <w:rPr>
          <w:rFonts w:ascii="Times New Roman" w:hAnsi="Times New Roman" w:cs="Times New Roman"/>
        </w:rPr>
        <w:lastRenderedPageBreak/>
        <w:t xml:space="preserve">experience that seems to predict more proficient teaching and better outcomes for students (Hanuschek, 2010).  </w:t>
      </w:r>
    </w:p>
    <w:p w14:paraId="33ACEE08" w14:textId="463B7742" w:rsidR="00D671D1" w:rsidRPr="007C56DF" w:rsidRDefault="00F26D40" w:rsidP="007C56DF">
      <w:pPr>
        <w:rPr>
          <w:rFonts w:ascii="Times New Roman" w:hAnsi="Times New Roman" w:cs="Times New Roman"/>
        </w:rPr>
      </w:pPr>
      <w:r w:rsidRPr="007C56DF">
        <w:rPr>
          <w:rFonts w:ascii="Times New Roman" w:hAnsi="Times New Roman" w:cs="Times New Roman"/>
        </w:rPr>
        <w:t>T</w:t>
      </w:r>
      <w:r w:rsidR="00D671D1" w:rsidRPr="007C56DF">
        <w:rPr>
          <w:rFonts w:ascii="Times New Roman" w:hAnsi="Times New Roman" w:cs="Times New Roman"/>
        </w:rPr>
        <w:t xml:space="preserve">eachers need the same kinds of sensitive and accurately tuned </w:t>
      </w:r>
      <w:r w:rsidR="00E427A1" w:rsidRPr="007C56DF">
        <w:rPr>
          <w:rFonts w:ascii="Times New Roman" w:hAnsi="Times New Roman" w:cs="Times New Roman"/>
        </w:rPr>
        <w:t>evidence-base</w:t>
      </w:r>
      <w:r w:rsidR="00D671D1" w:rsidRPr="007C56DF">
        <w:rPr>
          <w:rFonts w:ascii="Times New Roman" w:hAnsi="Times New Roman" w:cs="Times New Roman"/>
        </w:rPr>
        <w:t xml:space="preserve"> systems that are standard issue in other professions that do precision work</w:t>
      </w:r>
      <w:r w:rsidR="005236C8" w:rsidRPr="007C56DF">
        <w:rPr>
          <w:rFonts w:ascii="Times New Roman" w:hAnsi="Times New Roman" w:cs="Times New Roman"/>
        </w:rPr>
        <w:t xml:space="preserve"> (Ball &amp; Forzani, 2009)</w:t>
      </w:r>
      <w:r w:rsidR="00D671D1" w:rsidRPr="007C56DF">
        <w:rPr>
          <w:rFonts w:ascii="Times New Roman" w:hAnsi="Times New Roman" w:cs="Times New Roman"/>
        </w:rPr>
        <w:t>.  Individualized teaching and learning opportunities require highly sensitive tools that provide just-in-time information</w:t>
      </w:r>
      <w:r w:rsidR="00E427A1" w:rsidRPr="007C56DF">
        <w:rPr>
          <w:rFonts w:ascii="Times New Roman" w:hAnsi="Times New Roman" w:cs="Times New Roman"/>
        </w:rPr>
        <w:t>, based on evidence from the classroom</w:t>
      </w:r>
      <w:r w:rsidR="00931F97" w:rsidRPr="007C56DF">
        <w:rPr>
          <w:rFonts w:ascii="Times New Roman" w:hAnsi="Times New Roman" w:cs="Times New Roman"/>
        </w:rPr>
        <w:t>, to</w:t>
      </w:r>
      <w:r w:rsidR="00D671D1" w:rsidRPr="007C56DF">
        <w:rPr>
          <w:rFonts w:ascii="Times New Roman" w:hAnsi="Times New Roman" w:cs="Times New Roman"/>
        </w:rPr>
        <w:t xml:space="preserve"> adjust the demands and feedback levels in lessons.  </w:t>
      </w:r>
      <w:r w:rsidR="00EE3474" w:rsidRPr="007C56DF">
        <w:rPr>
          <w:rFonts w:ascii="Times New Roman" w:hAnsi="Times New Roman" w:cs="Times New Roman"/>
        </w:rPr>
        <w:t>The conditions for teaching effectively include reliable</w:t>
      </w:r>
      <w:r w:rsidR="00D671D1" w:rsidRPr="007C56DF">
        <w:rPr>
          <w:rFonts w:ascii="Times New Roman" w:hAnsi="Times New Roman" w:cs="Times New Roman"/>
        </w:rPr>
        <w:t xml:space="preserve"> student performance data dashboards that help teachers calibrate what they teach and how they teach it based on the needs of the students in their classes.  </w:t>
      </w:r>
      <w:r w:rsidR="00EE3474" w:rsidRPr="007C56DF">
        <w:rPr>
          <w:rFonts w:ascii="Times New Roman" w:hAnsi="Times New Roman" w:cs="Times New Roman"/>
        </w:rPr>
        <w:t>In this article we argue that holding teachers, administrators, and central office administrators accountable for learning outcomes without ensuring that the basic conditions are met, makes little or no sense. We need a</w:t>
      </w:r>
      <w:r w:rsidR="00D671D1" w:rsidRPr="007C56DF">
        <w:rPr>
          <w:rFonts w:ascii="Times New Roman" w:hAnsi="Times New Roman" w:cs="Times New Roman"/>
        </w:rPr>
        <w:t xml:space="preserve"> national school accreditation system that assesses schools on these fundamental necessities for learning.  </w:t>
      </w:r>
      <w:r w:rsidR="00EE3474" w:rsidRPr="00452BCF">
        <w:rPr>
          <w:rFonts w:ascii="Times New Roman" w:hAnsi="Times New Roman" w:cs="Times New Roman"/>
        </w:rPr>
        <w:t xml:space="preserve">Such a system would reward states, local school agencies, and schools that </w:t>
      </w:r>
      <w:r w:rsidR="00D671D1" w:rsidRPr="00452BCF">
        <w:rPr>
          <w:rFonts w:ascii="Times New Roman" w:hAnsi="Times New Roman" w:cs="Times New Roman"/>
        </w:rPr>
        <w:t xml:space="preserve">meet a </w:t>
      </w:r>
      <w:r w:rsidR="00E427A1" w:rsidRPr="00452BCF">
        <w:rPr>
          <w:rFonts w:ascii="Times New Roman" w:hAnsi="Times New Roman" w:cs="Times New Roman"/>
        </w:rPr>
        <w:t>“</w:t>
      </w:r>
      <w:r w:rsidR="00D671D1" w:rsidRPr="00452BCF">
        <w:rPr>
          <w:rFonts w:ascii="Times New Roman" w:hAnsi="Times New Roman" w:cs="Times New Roman"/>
        </w:rPr>
        <w:t>fit for use</w:t>
      </w:r>
      <w:r w:rsidR="00E427A1" w:rsidRPr="00452BCF">
        <w:rPr>
          <w:rFonts w:ascii="Times New Roman" w:hAnsi="Times New Roman" w:cs="Times New Roman"/>
        </w:rPr>
        <w:t>"</w:t>
      </w:r>
      <w:r w:rsidR="00D671D1" w:rsidRPr="00452BCF">
        <w:rPr>
          <w:rFonts w:ascii="Times New Roman" w:hAnsi="Times New Roman" w:cs="Times New Roman"/>
        </w:rPr>
        <w:t xml:space="preserve"> standard</w:t>
      </w:r>
      <w:r w:rsidR="00B01EBE" w:rsidRPr="00452BCF">
        <w:rPr>
          <w:rFonts w:ascii="Times New Roman" w:hAnsi="Times New Roman" w:cs="Times New Roman"/>
        </w:rPr>
        <w:t xml:space="preserve">. </w:t>
      </w:r>
      <w:r w:rsidR="00591D24" w:rsidRPr="00452BCF">
        <w:rPr>
          <w:rFonts w:ascii="Times New Roman" w:hAnsi="Times New Roman" w:cs="Times New Roman"/>
        </w:rPr>
        <w:t>Such as</w:t>
      </w:r>
      <w:r w:rsidR="00B01EBE" w:rsidRPr="00452BCF">
        <w:rPr>
          <w:rFonts w:ascii="Times New Roman" w:hAnsi="Times New Roman" w:cs="Times New Roman"/>
        </w:rPr>
        <w:t xml:space="preserve"> providing </w:t>
      </w:r>
      <w:r w:rsidR="00591D24" w:rsidRPr="00452BCF">
        <w:rPr>
          <w:rFonts w:ascii="Times New Roman" w:hAnsi="Times New Roman" w:cs="Times New Roman"/>
        </w:rPr>
        <w:t>such</w:t>
      </w:r>
      <w:r w:rsidR="00F44142" w:rsidRPr="00452BCF">
        <w:rPr>
          <w:rFonts w:ascii="Times New Roman" w:hAnsi="Times New Roman" w:cs="Times New Roman"/>
        </w:rPr>
        <w:t xml:space="preserve"> schools with the </w:t>
      </w:r>
      <w:r w:rsidR="00D671D1" w:rsidRPr="00452BCF">
        <w:rPr>
          <w:rFonts w:ascii="Times New Roman" w:hAnsi="Times New Roman" w:cs="Times New Roman"/>
        </w:rPr>
        <w:t>opportunity for partnership with local teacher education programs as professional learning schools.</w:t>
      </w:r>
      <w:r w:rsidR="00D671D1" w:rsidRPr="007C56DF">
        <w:rPr>
          <w:rFonts w:ascii="Times New Roman" w:hAnsi="Times New Roman" w:cs="Times New Roman"/>
        </w:rPr>
        <w:t xml:space="preserve">  </w:t>
      </w:r>
    </w:p>
    <w:p w14:paraId="2757E5FC" w14:textId="1A8CBC7E" w:rsidR="001A6326" w:rsidRPr="007C56DF" w:rsidRDefault="00D671D1" w:rsidP="007C56DF">
      <w:pPr>
        <w:pStyle w:val="Heading2"/>
        <w:ind w:firstLine="720"/>
        <w:rPr>
          <w:rFonts w:ascii="Times New Roman" w:hAnsi="Times New Roman" w:cs="Times New Roman"/>
          <w:b w:val="0"/>
        </w:rPr>
      </w:pPr>
      <w:r w:rsidRPr="007C56DF">
        <w:rPr>
          <w:rFonts w:ascii="Times New Roman" w:hAnsi="Times New Roman" w:cs="Times New Roman"/>
        </w:rPr>
        <w:t xml:space="preserve">Design </w:t>
      </w:r>
      <w:r w:rsidR="00593BC2" w:rsidRPr="007C56DF">
        <w:rPr>
          <w:rFonts w:ascii="Times New Roman" w:hAnsi="Times New Roman" w:cs="Times New Roman"/>
        </w:rPr>
        <w:t>s</w:t>
      </w:r>
      <w:r w:rsidRPr="007C56DF">
        <w:rPr>
          <w:rFonts w:ascii="Times New Roman" w:hAnsi="Times New Roman" w:cs="Times New Roman"/>
        </w:rPr>
        <w:t xml:space="preserve">chools with </w:t>
      </w:r>
      <w:r w:rsidR="00593BC2" w:rsidRPr="007C56DF">
        <w:rPr>
          <w:rFonts w:ascii="Times New Roman" w:hAnsi="Times New Roman" w:cs="Times New Roman"/>
        </w:rPr>
        <w:t>m</w:t>
      </w:r>
      <w:r w:rsidR="002273CC" w:rsidRPr="007C56DF">
        <w:rPr>
          <w:rFonts w:ascii="Times New Roman" w:hAnsi="Times New Roman" w:cs="Times New Roman"/>
        </w:rPr>
        <w:t xml:space="preserve">ultiple </w:t>
      </w:r>
      <w:r w:rsidR="00593BC2" w:rsidRPr="007C56DF">
        <w:rPr>
          <w:rFonts w:ascii="Times New Roman" w:hAnsi="Times New Roman" w:cs="Times New Roman"/>
        </w:rPr>
        <w:t>t</w:t>
      </w:r>
      <w:r w:rsidR="002273CC" w:rsidRPr="007C56DF">
        <w:rPr>
          <w:rFonts w:ascii="Times New Roman" w:hAnsi="Times New Roman" w:cs="Times New Roman"/>
        </w:rPr>
        <w:t xml:space="preserve">iers of </w:t>
      </w:r>
      <w:r w:rsidR="00593BC2" w:rsidRPr="007C56DF">
        <w:rPr>
          <w:rFonts w:ascii="Times New Roman" w:hAnsi="Times New Roman" w:cs="Times New Roman"/>
        </w:rPr>
        <w:t>s</w:t>
      </w:r>
      <w:r w:rsidR="002273CC" w:rsidRPr="007C56DF">
        <w:rPr>
          <w:rFonts w:ascii="Times New Roman" w:hAnsi="Times New Roman" w:cs="Times New Roman"/>
        </w:rPr>
        <w:t xml:space="preserve">tudent </w:t>
      </w:r>
      <w:r w:rsidR="00593BC2" w:rsidRPr="007C56DF">
        <w:rPr>
          <w:rFonts w:ascii="Times New Roman" w:hAnsi="Times New Roman" w:cs="Times New Roman"/>
        </w:rPr>
        <w:t>s</w:t>
      </w:r>
      <w:r w:rsidRPr="007C56DF">
        <w:rPr>
          <w:rFonts w:ascii="Times New Roman" w:hAnsi="Times New Roman" w:cs="Times New Roman"/>
        </w:rPr>
        <w:t>upport</w:t>
      </w:r>
      <w:r w:rsidR="00AA5C62" w:rsidRPr="007C56DF">
        <w:rPr>
          <w:rFonts w:ascii="Times New Roman" w:hAnsi="Times New Roman" w:cs="Times New Roman"/>
        </w:rPr>
        <w:t xml:space="preserve">. </w:t>
      </w:r>
      <w:r w:rsidRPr="007C56DF">
        <w:rPr>
          <w:rFonts w:ascii="Times New Roman" w:hAnsi="Times New Roman" w:cs="Times New Roman"/>
          <w:b w:val="0"/>
        </w:rPr>
        <w:t>The adoption of the public health model for supporting healthy communities and applying it to schools</w:t>
      </w:r>
      <w:r w:rsidR="00A667A7" w:rsidRPr="007C56DF">
        <w:rPr>
          <w:rFonts w:ascii="Times New Roman" w:hAnsi="Times New Roman" w:cs="Times New Roman"/>
          <w:b w:val="0"/>
        </w:rPr>
        <w:t xml:space="preserve"> opened many opportunities in the design of schools because it</w:t>
      </w:r>
      <w:r w:rsidR="001A6326" w:rsidRPr="007C56DF">
        <w:rPr>
          <w:rFonts w:ascii="Times New Roman" w:hAnsi="Times New Roman" w:cs="Times New Roman"/>
          <w:b w:val="0"/>
        </w:rPr>
        <w:t xml:space="preserve"> changed</w:t>
      </w:r>
      <w:r w:rsidR="00375A88" w:rsidRPr="007C56DF">
        <w:rPr>
          <w:rFonts w:ascii="Times New Roman" w:hAnsi="Times New Roman" w:cs="Times New Roman"/>
          <w:b w:val="0"/>
        </w:rPr>
        <w:t xml:space="preserve"> </w:t>
      </w:r>
      <w:r w:rsidR="006A648C" w:rsidRPr="007C56DF">
        <w:rPr>
          <w:rFonts w:ascii="Times New Roman" w:hAnsi="Times New Roman" w:cs="Times New Roman"/>
          <w:b w:val="0"/>
        </w:rPr>
        <w:t>altered</w:t>
      </w:r>
      <w:r w:rsidR="001A6326" w:rsidRPr="007C56DF">
        <w:rPr>
          <w:rFonts w:ascii="Times New Roman" w:hAnsi="Times New Roman" w:cs="Times New Roman"/>
          <w:b w:val="0"/>
        </w:rPr>
        <w:t xml:space="preserve"> the</w:t>
      </w:r>
      <w:r w:rsidR="00F769C1" w:rsidRPr="007C56DF">
        <w:rPr>
          <w:rFonts w:ascii="Times New Roman" w:hAnsi="Times New Roman" w:cs="Times New Roman"/>
          <w:b w:val="0"/>
        </w:rPr>
        <w:t>ir</w:t>
      </w:r>
      <w:r w:rsidR="001A6326" w:rsidRPr="007C56DF">
        <w:rPr>
          <w:rFonts w:ascii="Times New Roman" w:hAnsi="Times New Roman" w:cs="Times New Roman"/>
          <w:b w:val="0"/>
        </w:rPr>
        <w:t xml:space="preserve"> approach</w:t>
      </w:r>
      <w:r w:rsidR="006A648C" w:rsidRPr="007C56DF">
        <w:rPr>
          <w:rFonts w:ascii="Times New Roman" w:hAnsi="Times New Roman" w:cs="Times New Roman"/>
          <w:b w:val="0"/>
        </w:rPr>
        <w:t xml:space="preserve"> to</w:t>
      </w:r>
      <w:r w:rsidR="001A6326" w:rsidRPr="007C56DF">
        <w:rPr>
          <w:rFonts w:ascii="Times New Roman" w:hAnsi="Times New Roman" w:cs="Times New Roman"/>
          <w:b w:val="0"/>
        </w:rPr>
        <w:t xml:space="preserve"> towards behavior management from </w:t>
      </w:r>
      <w:r w:rsidR="006A648C" w:rsidRPr="007C56DF">
        <w:rPr>
          <w:rFonts w:ascii="Times New Roman" w:hAnsi="Times New Roman" w:cs="Times New Roman"/>
          <w:b w:val="0"/>
        </w:rPr>
        <w:t xml:space="preserve">being </w:t>
      </w:r>
      <w:r w:rsidR="001A6326" w:rsidRPr="007C56DF">
        <w:rPr>
          <w:rFonts w:ascii="Times New Roman" w:hAnsi="Times New Roman" w:cs="Times New Roman"/>
          <w:b w:val="0"/>
        </w:rPr>
        <w:t>reactive to pr</w:t>
      </w:r>
      <w:r w:rsidR="00375A88" w:rsidRPr="007C56DF">
        <w:rPr>
          <w:rFonts w:ascii="Times New Roman" w:hAnsi="Times New Roman" w:cs="Times New Roman"/>
          <w:b w:val="0"/>
        </w:rPr>
        <w:t>oactiv</w:t>
      </w:r>
      <w:r w:rsidR="001A6326" w:rsidRPr="007C56DF">
        <w:rPr>
          <w:rFonts w:ascii="Times New Roman" w:hAnsi="Times New Roman" w:cs="Times New Roman"/>
          <w:b w:val="0"/>
        </w:rPr>
        <w:t>e and, consequently</w:t>
      </w:r>
      <w:r w:rsidR="00375A88" w:rsidRPr="007C56DF">
        <w:rPr>
          <w:rFonts w:ascii="Times New Roman" w:hAnsi="Times New Roman" w:cs="Times New Roman"/>
          <w:b w:val="0"/>
        </w:rPr>
        <w:t>, opened</w:t>
      </w:r>
      <w:r w:rsidR="00E427A1" w:rsidRPr="007C56DF">
        <w:rPr>
          <w:rFonts w:ascii="Times New Roman" w:hAnsi="Times New Roman" w:cs="Times New Roman"/>
          <w:b w:val="0"/>
        </w:rPr>
        <w:t xml:space="preserve"> many opportunities in the design of schools. </w:t>
      </w:r>
      <w:r w:rsidRPr="007C56DF">
        <w:rPr>
          <w:rFonts w:ascii="Times New Roman" w:hAnsi="Times New Roman" w:cs="Times New Roman"/>
          <w:b w:val="0"/>
        </w:rPr>
        <w:t xml:space="preserve"> In the early 1990s, </w:t>
      </w:r>
      <w:r w:rsidR="00375A88" w:rsidRPr="007C56DF">
        <w:rPr>
          <w:rFonts w:ascii="Times New Roman" w:hAnsi="Times New Roman" w:cs="Times New Roman"/>
          <w:b w:val="0"/>
        </w:rPr>
        <w:t>a team of researchers was</w:t>
      </w:r>
      <w:r w:rsidRPr="007C56DF">
        <w:rPr>
          <w:rFonts w:ascii="Times New Roman" w:hAnsi="Times New Roman" w:cs="Times New Roman"/>
          <w:b w:val="0"/>
        </w:rPr>
        <w:t xml:space="preserve"> struggling to reduce the effort that educators spent on managing behaviors and reallocate that effort to academic learning.  </w:t>
      </w:r>
      <w:r w:rsidR="00A667A7" w:rsidRPr="007C56DF">
        <w:rPr>
          <w:rFonts w:ascii="Times New Roman" w:hAnsi="Times New Roman" w:cs="Times New Roman"/>
          <w:b w:val="0"/>
        </w:rPr>
        <w:t xml:space="preserve">When schools took a reactive approach to manage and suppress poor behavior, it required the concentrated effort and time of educators and administrators, pulling them away from their core </w:t>
      </w:r>
      <w:r w:rsidR="00A667A7" w:rsidRPr="007C56DF">
        <w:rPr>
          <w:rFonts w:ascii="Times New Roman" w:hAnsi="Times New Roman" w:cs="Times New Roman"/>
          <w:b w:val="0"/>
        </w:rPr>
        <w:lastRenderedPageBreak/>
        <w:t xml:space="preserve">work in teaching content and tools for learning such as reading.  </w:t>
      </w:r>
      <w:r w:rsidRPr="007C56DF">
        <w:rPr>
          <w:rFonts w:ascii="Times New Roman" w:hAnsi="Times New Roman" w:cs="Times New Roman"/>
          <w:b w:val="0"/>
        </w:rPr>
        <w:t>The public health model offered a way to conceptualize that problem</w:t>
      </w:r>
      <w:r w:rsidR="009100EA" w:rsidRPr="007C56DF">
        <w:rPr>
          <w:rFonts w:ascii="Times New Roman" w:hAnsi="Times New Roman" w:cs="Times New Roman"/>
          <w:b w:val="0"/>
        </w:rPr>
        <w:t xml:space="preserve"> (Stein, Hoagwood, &amp; Cohn, 2003)</w:t>
      </w:r>
      <w:r w:rsidRPr="007C56DF">
        <w:rPr>
          <w:rFonts w:ascii="Times New Roman" w:hAnsi="Times New Roman" w:cs="Times New Roman"/>
          <w:b w:val="0"/>
        </w:rPr>
        <w:t xml:space="preserve">. </w:t>
      </w:r>
      <w:r w:rsidR="00EC471A" w:rsidRPr="007C56DF">
        <w:rPr>
          <w:rFonts w:ascii="Times New Roman" w:hAnsi="Times New Roman" w:cs="Times New Roman"/>
          <w:b w:val="0"/>
        </w:rPr>
        <w:t xml:space="preserve">This model suggested that 85% of a healthy system would focus on healthy life choices and preventative maintenance without explicit and express intervention efforts (Walker, Horner, Sugai, Bullis, Sprague, Bricker, &amp; Kaufman, 1996). If preventative routines and resources were available and widely accessible, only about 10% of the population would need some sort of persistent and more intense support.  And, only about 5% of effort would be spent on critical and life-threatening issues.  </w:t>
      </w:r>
      <w:r w:rsidR="00EC786E" w:rsidRPr="007C56DF">
        <w:rPr>
          <w:rFonts w:ascii="Times New Roman" w:hAnsi="Times New Roman" w:cs="Times New Roman"/>
          <w:b w:val="0"/>
        </w:rPr>
        <w:t>When schools took a reactive approach to manage and suppress poor behavior, it</w:t>
      </w:r>
      <w:r w:rsidRPr="007C56DF">
        <w:rPr>
          <w:rFonts w:ascii="Times New Roman" w:hAnsi="Times New Roman" w:cs="Times New Roman"/>
          <w:b w:val="0"/>
        </w:rPr>
        <w:t xml:space="preserve"> If school</w:t>
      </w:r>
      <w:r w:rsidR="009100EA" w:rsidRPr="007C56DF">
        <w:rPr>
          <w:rFonts w:ascii="Times New Roman" w:hAnsi="Times New Roman" w:cs="Times New Roman"/>
          <w:b w:val="0"/>
        </w:rPr>
        <w:t xml:space="preserve"> leaders</w:t>
      </w:r>
      <w:r w:rsidRPr="007C56DF">
        <w:rPr>
          <w:rFonts w:ascii="Times New Roman" w:hAnsi="Times New Roman" w:cs="Times New Roman"/>
          <w:b w:val="0"/>
        </w:rPr>
        <w:t xml:space="preserve"> thought about classrooms and the school as a whole as trying to reach a healthy stasis, the ratio of disease and public emergency would be low and the health of the system to monitor and adjust itself was high.  Every effort to manage and suppress poor behavior required the concentrated effort</w:t>
      </w:r>
      <w:r w:rsidR="00411A04" w:rsidRPr="007C56DF">
        <w:rPr>
          <w:rFonts w:ascii="Times New Roman" w:hAnsi="Times New Roman" w:cs="Times New Roman"/>
          <w:b w:val="0"/>
        </w:rPr>
        <w:t xml:space="preserve"> and time</w:t>
      </w:r>
      <w:r w:rsidRPr="007C56DF">
        <w:rPr>
          <w:rFonts w:ascii="Times New Roman" w:hAnsi="Times New Roman" w:cs="Times New Roman"/>
          <w:b w:val="0"/>
        </w:rPr>
        <w:t xml:space="preserve"> of educators and administrators</w:t>
      </w:r>
      <w:r w:rsidR="00411A04" w:rsidRPr="007C56DF">
        <w:rPr>
          <w:rFonts w:ascii="Times New Roman" w:hAnsi="Times New Roman" w:cs="Times New Roman"/>
          <w:b w:val="0"/>
        </w:rPr>
        <w:t>, pulling them away from their core work in teaching content and tools for learning</w:t>
      </w:r>
      <w:r w:rsidR="00E427A1" w:rsidRPr="007C56DF">
        <w:rPr>
          <w:rFonts w:ascii="Times New Roman" w:hAnsi="Times New Roman" w:cs="Times New Roman"/>
          <w:b w:val="0"/>
        </w:rPr>
        <w:t xml:space="preserve"> such as</w:t>
      </w:r>
      <w:r w:rsidR="00411A04" w:rsidRPr="007C56DF">
        <w:rPr>
          <w:rFonts w:ascii="Times New Roman" w:hAnsi="Times New Roman" w:cs="Times New Roman"/>
          <w:b w:val="0"/>
        </w:rPr>
        <w:t xml:space="preserve"> reading</w:t>
      </w:r>
      <w:r w:rsidRPr="007C56DF">
        <w:rPr>
          <w:rFonts w:ascii="Times New Roman" w:hAnsi="Times New Roman" w:cs="Times New Roman"/>
          <w:b w:val="0"/>
        </w:rPr>
        <w:t xml:space="preserve">.  </w:t>
      </w:r>
      <w:r w:rsidR="00EC786E" w:rsidRPr="007C56DF">
        <w:rPr>
          <w:rFonts w:ascii="Times New Roman" w:hAnsi="Times New Roman" w:cs="Times New Roman"/>
          <w:b w:val="0"/>
        </w:rPr>
        <w:t xml:space="preserve">If school leaders applied the public health model and thought about classrooms and the school as a whole as trying to reach a healthy stasis, the ratio of disease and public emergency would be low and the health of the system to monitor and adjust itself was high. </w:t>
      </w:r>
      <w:r w:rsidR="0001618E" w:rsidRPr="007C56DF">
        <w:rPr>
          <w:rFonts w:ascii="Times New Roman" w:hAnsi="Times New Roman" w:cs="Times New Roman"/>
          <w:b w:val="0"/>
        </w:rPr>
        <w:t xml:space="preserve">In </w:t>
      </w:r>
      <w:r w:rsidR="00EC786E" w:rsidRPr="007C56DF">
        <w:rPr>
          <w:rFonts w:ascii="Times New Roman" w:hAnsi="Times New Roman" w:cs="Times New Roman"/>
          <w:b w:val="0"/>
        </w:rPr>
        <w:t>other words</w:t>
      </w:r>
      <w:r w:rsidR="0001618E" w:rsidRPr="007C56DF">
        <w:rPr>
          <w:rFonts w:ascii="Times New Roman" w:hAnsi="Times New Roman" w:cs="Times New Roman"/>
          <w:b w:val="0"/>
        </w:rPr>
        <w:t xml:space="preserve">, </w:t>
      </w:r>
      <w:r w:rsidRPr="007C56DF">
        <w:rPr>
          <w:rFonts w:ascii="Times New Roman" w:hAnsi="Times New Roman" w:cs="Times New Roman"/>
          <w:b w:val="0"/>
        </w:rPr>
        <w:t xml:space="preserve">when behavior issues were infrequent, teachers could spend time and effort on instructional design and delivery. </w:t>
      </w:r>
      <w:r w:rsidRPr="007C56DF" w:rsidDel="00A667A7">
        <w:rPr>
          <w:rFonts w:ascii="Times New Roman" w:hAnsi="Times New Roman" w:cs="Times New Roman"/>
          <w:b w:val="0"/>
        </w:rPr>
        <w:t xml:space="preserve"> The public health model suggested that 85% of </w:t>
      </w:r>
      <w:r w:rsidR="00411A04" w:rsidRPr="007C56DF" w:rsidDel="00A667A7">
        <w:rPr>
          <w:rFonts w:ascii="Times New Roman" w:hAnsi="Times New Roman" w:cs="Times New Roman"/>
          <w:b w:val="0"/>
        </w:rPr>
        <w:t>a healthy</w:t>
      </w:r>
      <w:r w:rsidRPr="007C56DF" w:rsidDel="00A667A7">
        <w:rPr>
          <w:rFonts w:ascii="Times New Roman" w:hAnsi="Times New Roman" w:cs="Times New Roman"/>
          <w:b w:val="0"/>
        </w:rPr>
        <w:t xml:space="preserve"> system </w:t>
      </w:r>
      <w:r w:rsidR="00411A04" w:rsidRPr="007C56DF" w:rsidDel="00A667A7">
        <w:rPr>
          <w:rFonts w:ascii="Times New Roman" w:hAnsi="Times New Roman" w:cs="Times New Roman"/>
          <w:b w:val="0"/>
        </w:rPr>
        <w:t>would focus on healthy life choices and preventative maintenance</w:t>
      </w:r>
      <w:r w:rsidRPr="007C56DF" w:rsidDel="00A667A7">
        <w:rPr>
          <w:rFonts w:ascii="Times New Roman" w:hAnsi="Times New Roman" w:cs="Times New Roman"/>
          <w:b w:val="0"/>
        </w:rPr>
        <w:t xml:space="preserve"> without explicit and express intervention efforts</w:t>
      </w:r>
      <w:r w:rsidR="009100EA" w:rsidRPr="007C56DF" w:rsidDel="00A667A7">
        <w:rPr>
          <w:rFonts w:ascii="Times New Roman" w:hAnsi="Times New Roman" w:cs="Times New Roman"/>
          <w:b w:val="0"/>
        </w:rPr>
        <w:t xml:space="preserve"> (Walker, Horner, Sugai, Bullis, Sprague, Bricker, &amp; Kaufman, 1996). </w:t>
      </w:r>
      <w:r w:rsidR="00411A04" w:rsidRPr="007C56DF" w:rsidDel="00A667A7">
        <w:rPr>
          <w:rFonts w:ascii="Times New Roman" w:hAnsi="Times New Roman" w:cs="Times New Roman"/>
          <w:b w:val="0"/>
        </w:rPr>
        <w:t>If preventative routines and resources were available and widely accessible, o</w:t>
      </w:r>
      <w:r w:rsidRPr="007C56DF" w:rsidDel="00A667A7">
        <w:rPr>
          <w:rFonts w:ascii="Times New Roman" w:hAnsi="Times New Roman" w:cs="Times New Roman"/>
          <w:b w:val="0"/>
        </w:rPr>
        <w:t>nly about 10%</w:t>
      </w:r>
      <w:r w:rsidR="00411A04" w:rsidRPr="007C56DF" w:rsidDel="00A667A7">
        <w:rPr>
          <w:rFonts w:ascii="Times New Roman" w:hAnsi="Times New Roman" w:cs="Times New Roman"/>
          <w:b w:val="0"/>
        </w:rPr>
        <w:t xml:space="preserve"> of the population would need</w:t>
      </w:r>
      <w:r w:rsidRPr="007C56DF" w:rsidDel="00A667A7">
        <w:rPr>
          <w:rFonts w:ascii="Times New Roman" w:hAnsi="Times New Roman" w:cs="Times New Roman"/>
          <w:b w:val="0"/>
        </w:rPr>
        <w:t xml:space="preserve"> some sort of persistent and more intense support.  </w:t>
      </w:r>
      <w:r w:rsidR="00411A04" w:rsidRPr="007C56DF" w:rsidDel="00A667A7">
        <w:rPr>
          <w:rFonts w:ascii="Times New Roman" w:hAnsi="Times New Roman" w:cs="Times New Roman"/>
          <w:b w:val="0"/>
        </w:rPr>
        <w:t>And, o</w:t>
      </w:r>
      <w:r w:rsidRPr="007C56DF" w:rsidDel="00A667A7">
        <w:rPr>
          <w:rFonts w:ascii="Times New Roman" w:hAnsi="Times New Roman" w:cs="Times New Roman"/>
          <w:b w:val="0"/>
        </w:rPr>
        <w:t xml:space="preserve">nly about 5% of effort would be spent on critical and life-threatening issues.  </w:t>
      </w:r>
      <w:r w:rsidR="00B70359" w:rsidRPr="007C56DF">
        <w:rPr>
          <w:rFonts w:ascii="Times New Roman" w:hAnsi="Times New Roman" w:cs="Times New Roman"/>
          <w:b w:val="0"/>
        </w:rPr>
        <w:t xml:space="preserve">If schools operated </w:t>
      </w:r>
      <w:r w:rsidR="00F769C1" w:rsidRPr="007C56DF">
        <w:rPr>
          <w:rFonts w:ascii="Times New Roman" w:hAnsi="Times New Roman" w:cs="Times New Roman"/>
          <w:b w:val="0"/>
        </w:rPr>
        <w:t>adopted</w:t>
      </w:r>
      <w:r w:rsidR="00B70359" w:rsidRPr="007C56DF">
        <w:rPr>
          <w:rFonts w:ascii="Times New Roman" w:hAnsi="Times New Roman" w:cs="Times New Roman"/>
          <w:b w:val="0"/>
        </w:rPr>
        <w:t xml:space="preserve"> </w:t>
      </w:r>
      <w:r w:rsidR="00F769C1" w:rsidRPr="007C56DF">
        <w:rPr>
          <w:rFonts w:ascii="Times New Roman" w:hAnsi="Times New Roman" w:cs="Times New Roman"/>
          <w:b w:val="0"/>
        </w:rPr>
        <w:t>this</w:t>
      </w:r>
      <w:r w:rsidR="00920D29" w:rsidRPr="007C56DF">
        <w:rPr>
          <w:rFonts w:ascii="Times New Roman" w:hAnsi="Times New Roman" w:cs="Times New Roman"/>
          <w:b w:val="0"/>
        </w:rPr>
        <w:t xml:space="preserve"> preventative</w:t>
      </w:r>
      <w:r w:rsidR="00F769C1" w:rsidRPr="007C56DF">
        <w:rPr>
          <w:rFonts w:ascii="Times New Roman" w:hAnsi="Times New Roman" w:cs="Times New Roman"/>
          <w:b w:val="0"/>
        </w:rPr>
        <w:t xml:space="preserve"> </w:t>
      </w:r>
      <w:r w:rsidR="00B70359" w:rsidRPr="007C56DF">
        <w:rPr>
          <w:rFonts w:ascii="Times New Roman" w:hAnsi="Times New Roman" w:cs="Times New Roman"/>
          <w:b w:val="0"/>
        </w:rPr>
        <w:t>approach</w:t>
      </w:r>
      <w:r w:rsidR="00A667A7" w:rsidRPr="007C56DF">
        <w:rPr>
          <w:rFonts w:ascii="Times New Roman" w:hAnsi="Times New Roman" w:cs="Times New Roman"/>
          <w:b w:val="0"/>
        </w:rPr>
        <w:t xml:space="preserve"> to behavior </w:t>
      </w:r>
      <w:r w:rsidR="0038260A" w:rsidRPr="007C56DF">
        <w:rPr>
          <w:rFonts w:ascii="Times New Roman" w:hAnsi="Times New Roman" w:cs="Times New Roman"/>
          <w:b w:val="0"/>
        </w:rPr>
        <w:t>management</w:t>
      </w:r>
      <w:r w:rsidR="00B70359" w:rsidRPr="007C56DF">
        <w:rPr>
          <w:rFonts w:ascii="Times New Roman" w:hAnsi="Times New Roman" w:cs="Times New Roman"/>
          <w:b w:val="0"/>
        </w:rPr>
        <w:t>, o</w:t>
      </w:r>
      <w:r w:rsidRPr="007C56DF">
        <w:rPr>
          <w:rFonts w:ascii="Times New Roman" w:hAnsi="Times New Roman" w:cs="Times New Roman"/>
          <w:b w:val="0"/>
        </w:rPr>
        <w:t xml:space="preserve">nly 5% of school effort would be spent on </w:t>
      </w:r>
      <w:r w:rsidRPr="007C56DF">
        <w:rPr>
          <w:rFonts w:ascii="Times New Roman" w:hAnsi="Times New Roman" w:cs="Times New Roman"/>
          <w:b w:val="0"/>
        </w:rPr>
        <w:lastRenderedPageBreak/>
        <w:t>crisis</w:t>
      </w:r>
      <w:r w:rsidR="00A667A7" w:rsidRPr="007C56DF">
        <w:rPr>
          <w:rFonts w:ascii="Times New Roman" w:hAnsi="Times New Roman" w:cs="Times New Roman"/>
          <w:b w:val="0"/>
        </w:rPr>
        <w:t xml:space="preserve">. </w:t>
      </w:r>
      <w:r w:rsidR="0001618E" w:rsidRPr="007C56DF">
        <w:rPr>
          <w:rFonts w:ascii="Times New Roman" w:hAnsi="Times New Roman" w:cs="Times New Roman"/>
          <w:b w:val="0"/>
        </w:rPr>
        <w:t>T</w:t>
      </w:r>
      <w:r w:rsidR="0038260A" w:rsidRPr="007C56DF">
        <w:rPr>
          <w:rFonts w:ascii="Times New Roman" w:hAnsi="Times New Roman" w:cs="Times New Roman"/>
          <w:b w:val="0"/>
        </w:rPr>
        <w:t>h</w:t>
      </w:r>
      <w:r w:rsidR="00920D29" w:rsidRPr="007C56DF">
        <w:rPr>
          <w:rFonts w:ascii="Times New Roman" w:hAnsi="Times New Roman" w:cs="Times New Roman"/>
          <w:b w:val="0"/>
        </w:rPr>
        <w:t xml:space="preserve">ese </w:t>
      </w:r>
      <w:r w:rsidR="00F769C1" w:rsidRPr="007C56DF">
        <w:rPr>
          <w:rFonts w:ascii="Times New Roman" w:hAnsi="Times New Roman" w:cs="Times New Roman"/>
          <w:b w:val="0"/>
        </w:rPr>
        <w:t>measures would make</w:t>
      </w:r>
      <w:r w:rsidR="00EC471A" w:rsidRPr="007C56DF">
        <w:rPr>
          <w:rFonts w:ascii="Times New Roman" w:hAnsi="Times New Roman" w:cs="Times New Roman"/>
          <w:b w:val="0"/>
        </w:rPr>
        <w:t xml:space="preserve"> </w:t>
      </w:r>
      <w:r w:rsidR="00F769C1" w:rsidRPr="007C56DF">
        <w:rPr>
          <w:rFonts w:ascii="Times New Roman" w:hAnsi="Times New Roman" w:cs="Times New Roman"/>
          <w:b w:val="0"/>
        </w:rPr>
        <w:t>behavior issues less frequent and</w:t>
      </w:r>
      <w:r w:rsidR="00EC471A" w:rsidRPr="007C56DF">
        <w:rPr>
          <w:rFonts w:ascii="Times New Roman" w:hAnsi="Times New Roman" w:cs="Times New Roman"/>
          <w:b w:val="0"/>
        </w:rPr>
        <w:t xml:space="preserve"> teachers could spend time and effort on instructional design and delivery. </w:t>
      </w:r>
    </w:p>
    <w:p w14:paraId="0C346BD2" w14:textId="1FFDFD54" w:rsidR="00D671D1" w:rsidRPr="007C56DF" w:rsidRDefault="00411A04" w:rsidP="007C56DF">
      <w:pPr>
        <w:rPr>
          <w:rFonts w:ascii="Times New Roman" w:hAnsi="Times New Roman" w:cs="Times New Roman"/>
        </w:rPr>
      </w:pPr>
      <w:r w:rsidRPr="007C56DF">
        <w:rPr>
          <w:rFonts w:ascii="Times New Roman" w:hAnsi="Times New Roman" w:cs="Times New Roman"/>
        </w:rPr>
        <w:t>A preventative approach</w:t>
      </w:r>
      <w:r w:rsidR="00D671D1" w:rsidRPr="007C56DF">
        <w:rPr>
          <w:rFonts w:ascii="Times New Roman" w:hAnsi="Times New Roman" w:cs="Times New Roman"/>
        </w:rPr>
        <w:t xml:space="preserve"> meant that effort</w:t>
      </w:r>
      <w:r w:rsidRPr="007C56DF">
        <w:rPr>
          <w:rFonts w:ascii="Times New Roman" w:hAnsi="Times New Roman" w:cs="Times New Roman"/>
        </w:rPr>
        <w:t>, time, and resources</w:t>
      </w:r>
      <w:r w:rsidR="00B70359" w:rsidRPr="007C56DF">
        <w:rPr>
          <w:rFonts w:ascii="Times New Roman" w:hAnsi="Times New Roman" w:cs="Times New Roman"/>
        </w:rPr>
        <w:t xml:space="preserve"> currently expended </w:t>
      </w:r>
      <w:r w:rsidRPr="007C56DF">
        <w:rPr>
          <w:rFonts w:ascii="Times New Roman" w:hAnsi="Times New Roman" w:cs="Times New Roman"/>
        </w:rPr>
        <w:t>to control and apprehend complex</w:t>
      </w:r>
      <w:r w:rsidR="00B70359" w:rsidRPr="007C56DF">
        <w:rPr>
          <w:rFonts w:ascii="Times New Roman" w:hAnsi="Times New Roman" w:cs="Times New Roman"/>
        </w:rPr>
        <w:t xml:space="preserve"> behaviors </w:t>
      </w:r>
      <w:r w:rsidRPr="007C56DF">
        <w:rPr>
          <w:rFonts w:ascii="Times New Roman" w:hAnsi="Times New Roman" w:cs="Times New Roman"/>
        </w:rPr>
        <w:t xml:space="preserve">would be </w:t>
      </w:r>
      <w:r w:rsidR="00B70359" w:rsidRPr="007C56DF">
        <w:rPr>
          <w:rFonts w:ascii="Times New Roman" w:hAnsi="Times New Roman" w:cs="Times New Roman"/>
        </w:rPr>
        <w:t>re</w:t>
      </w:r>
      <w:r w:rsidR="00D671D1" w:rsidRPr="007C56DF">
        <w:rPr>
          <w:rFonts w:ascii="Times New Roman" w:hAnsi="Times New Roman" w:cs="Times New Roman"/>
        </w:rPr>
        <w:t>directed</w:t>
      </w:r>
      <w:r w:rsidR="00B70359" w:rsidRPr="007C56DF">
        <w:rPr>
          <w:rFonts w:ascii="Times New Roman" w:hAnsi="Times New Roman" w:cs="Times New Roman"/>
        </w:rPr>
        <w:t xml:space="preserve">.  </w:t>
      </w:r>
      <w:r w:rsidRPr="007C56DF">
        <w:rPr>
          <w:rFonts w:ascii="Times New Roman" w:hAnsi="Times New Roman" w:cs="Times New Roman"/>
        </w:rPr>
        <w:t xml:space="preserve">Applying the public health model to </w:t>
      </w:r>
      <w:r w:rsidR="00B70359" w:rsidRPr="007C56DF">
        <w:rPr>
          <w:rFonts w:ascii="Times New Roman" w:hAnsi="Times New Roman" w:cs="Times New Roman"/>
        </w:rPr>
        <w:t xml:space="preserve">schools </w:t>
      </w:r>
      <w:r w:rsidRPr="007C56DF">
        <w:rPr>
          <w:rFonts w:ascii="Times New Roman" w:hAnsi="Times New Roman" w:cs="Times New Roman"/>
        </w:rPr>
        <w:t>meant creating</w:t>
      </w:r>
      <w:r w:rsidR="00D671D1" w:rsidRPr="007C56DF">
        <w:rPr>
          <w:rFonts w:ascii="Times New Roman" w:hAnsi="Times New Roman" w:cs="Times New Roman"/>
        </w:rPr>
        <w:t xml:space="preserve"> a</w:t>
      </w:r>
      <w:r w:rsidR="00B70359" w:rsidRPr="007C56DF">
        <w:rPr>
          <w:rFonts w:ascii="Times New Roman" w:hAnsi="Times New Roman" w:cs="Times New Roman"/>
        </w:rPr>
        <w:t xml:space="preserve">n instructional stream for students to learn to manage their own emotions as well as learn to work and play with their peers in classrooms.  </w:t>
      </w:r>
      <w:r w:rsidR="00D671D1" w:rsidRPr="007C56DF">
        <w:rPr>
          <w:rFonts w:ascii="Times New Roman" w:hAnsi="Times New Roman" w:cs="Times New Roman"/>
        </w:rPr>
        <w:t xml:space="preserve"> Making sure that students would learn and use </w:t>
      </w:r>
      <w:r w:rsidRPr="007C56DF">
        <w:rPr>
          <w:rFonts w:ascii="Times New Roman" w:hAnsi="Times New Roman" w:cs="Times New Roman"/>
        </w:rPr>
        <w:t xml:space="preserve">these skills </w:t>
      </w:r>
      <w:r w:rsidR="00D671D1" w:rsidRPr="007C56DF">
        <w:rPr>
          <w:rFonts w:ascii="Times New Roman" w:hAnsi="Times New Roman" w:cs="Times New Roman"/>
        </w:rPr>
        <w:t xml:space="preserve">would take effort, persistence, alignment, and feedback to continue to improve.  Schools began to do this work.  </w:t>
      </w:r>
      <w:r w:rsidR="00B70359" w:rsidRPr="007C56DF">
        <w:rPr>
          <w:rFonts w:ascii="Times New Roman" w:hAnsi="Times New Roman" w:cs="Times New Roman"/>
        </w:rPr>
        <w:t xml:space="preserve">The approach, </w:t>
      </w:r>
      <w:r w:rsidR="00D671D1" w:rsidRPr="007C56DF">
        <w:rPr>
          <w:rFonts w:ascii="Times New Roman" w:hAnsi="Times New Roman" w:cs="Times New Roman"/>
        </w:rPr>
        <w:t>called</w:t>
      </w:r>
      <w:r w:rsidR="00B70359" w:rsidRPr="007C56DF">
        <w:rPr>
          <w:rFonts w:ascii="Times New Roman" w:hAnsi="Times New Roman" w:cs="Times New Roman"/>
        </w:rPr>
        <w:t xml:space="preserve"> p</w:t>
      </w:r>
      <w:r w:rsidR="00D671D1" w:rsidRPr="007C56DF">
        <w:rPr>
          <w:rFonts w:ascii="Times New Roman" w:hAnsi="Times New Roman" w:cs="Times New Roman"/>
        </w:rPr>
        <w:t xml:space="preserve">ositive </w:t>
      </w:r>
      <w:r w:rsidR="00B70359" w:rsidRPr="007C56DF">
        <w:rPr>
          <w:rFonts w:ascii="Times New Roman" w:hAnsi="Times New Roman" w:cs="Times New Roman"/>
        </w:rPr>
        <w:t>b</w:t>
      </w:r>
      <w:r w:rsidR="00D671D1" w:rsidRPr="007C56DF">
        <w:rPr>
          <w:rFonts w:ascii="Times New Roman" w:hAnsi="Times New Roman" w:cs="Times New Roman"/>
        </w:rPr>
        <w:t xml:space="preserve">ehavior </w:t>
      </w:r>
      <w:r w:rsidR="00B70359" w:rsidRPr="007C56DF">
        <w:rPr>
          <w:rFonts w:ascii="Times New Roman" w:hAnsi="Times New Roman" w:cs="Times New Roman"/>
        </w:rPr>
        <w:t>s</w:t>
      </w:r>
      <w:r w:rsidR="00D671D1" w:rsidRPr="007C56DF">
        <w:rPr>
          <w:rFonts w:ascii="Times New Roman" w:hAnsi="Times New Roman" w:cs="Times New Roman"/>
        </w:rPr>
        <w:t>upports</w:t>
      </w:r>
      <w:r w:rsidR="00B70359" w:rsidRPr="007C56DF">
        <w:rPr>
          <w:rFonts w:ascii="Times New Roman" w:hAnsi="Times New Roman" w:cs="Times New Roman"/>
        </w:rPr>
        <w:t xml:space="preserve"> (PBS), gained momentum through ongoing research and model demonstration funding</w:t>
      </w:r>
      <w:r w:rsidR="00D671D1" w:rsidRPr="007C56DF">
        <w:rPr>
          <w:rFonts w:ascii="Times New Roman" w:hAnsi="Times New Roman" w:cs="Times New Roman"/>
        </w:rPr>
        <w:t xml:space="preserve">. Success was measured by the amount of effort and time spent on the three tiers of support.  The data were impressive. A review of the literature found that </w:t>
      </w:r>
      <w:r w:rsidR="00B70359" w:rsidRPr="007C56DF">
        <w:rPr>
          <w:rFonts w:ascii="Times New Roman" w:hAnsi="Times New Roman" w:cs="Times New Roman"/>
        </w:rPr>
        <w:t>p</w:t>
      </w:r>
      <w:r w:rsidR="00D671D1" w:rsidRPr="007C56DF">
        <w:rPr>
          <w:rFonts w:ascii="Times New Roman" w:hAnsi="Times New Roman" w:cs="Times New Roman"/>
        </w:rPr>
        <w:t xml:space="preserve">ositive </w:t>
      </w:r>
      <w:r w:rsidR="00B70359" w:rsidRPr="007C56DF">
        <w:rPr>
          <w:rFonts w:ascii="Times New Roman" w:hAnsi="Times New Roman" w:cs="Times New Roman"/>
        </w:rPr>
        <w:t>b</w:t>
      </w:r>
      <w:r w:rsidR="00D671D1" w:rsidRPr="007C56DF">
        <w:rPr>
          <w:rFonts w:ascii="Times New Roman" w:hAnsi="Times New Roman" w:cs="Times New Roman"/>
        </w:rPr>
        <w:t xml:space="preserve">ehavior </w:t>
      </w:r>
      <w:r w:rsidR="00B70359" w:rsidRPr="007C56DF">
        <w:rPr>
          <w:rFonts w:ascii="Times New Roman" w:hAnsi="Times New Roman" w:cs="Times New Roman"/>
        </w:rPr>
        <w:t>s</w:t>
      </w:r>
      <w:r w:rsidR="00D671D1" w:rsidRPr="007C56DF">
        <w:rPr>
          <w:rFonts w:ascii="Times New Roman" w:hAnsi="Times New Roman" w:cs="Times New Roman"/>
        </w:rPr>
        <w:t>upports successfully reduced the number of impeding behaviors by 80% in two-thirds of the behavioral outcomes (Carr</w:t>
      </w:r>
      <w:r w:rsidR="006C1A25" w:rsidRPr="007C56DF">
        <w:rPr>
          <w:rFonts w:ascii="Times New Roman" w:hAnsi="Times New Roman" w:cs="Times New Roman"/>
        </w:rPr>
        <w:t>, Horner, Turnbull, Marqui, McLaughlin, McAtee, Smith, Ryan, Ruef, Doolabh, &amp; Braddock, 1</w:t>
      </w:r>
      <w:r w:rsidR="00D671D1" w:rsidRPr="007C56DF">
        <w:rPr>
          <w:rFonts w:ascii="Times New Roman" w:hAnsi="Times New Roman" w:cs="Times New Roman"/>
        </w:rPr>
        <w:t>999</w:t>
      </w:r>
      <w:r w:rsidR="006C1A25" w:rsidRPr="007C56DF">
        <w:rPr>
          <w:rFonts w:ascii="Times New Roman" w:hAnsi="Times New Roman" w:cs="Times New Roman"/>
        </w:rPr>
        <w:t>)</w:t>
      </w:r>
      <w:r w:rsidR="00D671D1" w:rsidRPr="007C56DF">
        <w:rPr>
          <w:rFonts w:ascii="Times New Roman" w:hAnsi="Times New Roman" w:cs="Times New Roman"/>
        </w:rPr>
        <w:t>.</w:t>
      </w:r>
    </w:p>
    <w:p w14:paraId="3B7266F9" w14:textId="77777777" w:rsidR="00E427A1" w:rsidRPr="007C56DF" w:rsidRDefault="00D671D1" w:rsidP="007C56DF">
      <w:pPr>
        <w:rPr>
          <w:rFonts w:ascii="Times New Roman" w:hAnsi="Times New Roman" w:cs="Times New Roman"/>
        </w:rPr>
      </w:pPr>
      <w:r w:rsidRPr="007C56DF">
        <w:rPr>
          <w:rFonts w:ascii="Times New Roman" w:hAnsi="Times New Roman" w:cs="Times New Roman"/>
        </w:rPr>
        <w:t xml:space="preserve">PBS was more effective </w:t>
      </w:r>
      <w:r w:rsidR="00B70359" w:rsidRPr="007C56DF">
        <w:rPr>
          <w:rFonts w:ascii="Times New Roman" w:hAnsi="Times New Roman" w:cs="Times New Roman"/>
        </w:rPr>
        <w:t xml:space="preserve">when accompanied by substantial </w:t>
      </w:r>
      <w:r w:rsidR="002E1EDE" w:rsidRPr="007C56DF">
        <w:rPr>
          <w:rFonts w:ascii="Times New Roman" w:hAnsi="Times New Roman" w:cs="Times New Roman"/>
        </w:rPr>
        <w:t>involvement of families and communities in setting the norms for behavior in schools (</w:t>
      </w:r>
      <w:r w:rsidR="006C1A25" w:rsidRPr="007C56DF">
        <w:rPr>
          <w:rFonts w:ascii="Times New Roman" w:hAnsi="Times New Roman" w:cs="Times New Roman"/>
        </w:rPr>
        <w:t>Dunlap, Kincaid, &amp; Jackson, 2013</w:t>
      </w:r>
      <w:r w:rsidR="002E1EDE" w:rsidRPr="007C56DF">
        <w:rPr>
          <w:rFonts w:ascii="Times New Roman" w:hAnsi="Times New Roman" w:cs="Times New Roman"/>
        </w:rPr>
        <w:t xml:space="preserve">).  </w:t>
      </w:r>
      <w:r w:rsidRPr="007C56DF">
        <w:rPr>
          <w:rFonts w:ascii="Times New Roman" w:hAnsi="Times New Roman" w:cs="Times New Roman"/>
        </w:rPr>
        <w:t>Additionally, students responded to a greater extent when a significant individual from their life, such as a teacher or parent, carries out PBS (Carr et la, 1999). Lesson</w:t>
      </w:r>
      <w:r w:rsidR="002E1EDE" w:rsidRPr="007C56DF">
        <w:rPr>
          <w:rFonts w:ascii="Times New Roman" w:hAnsi="Times New Roman" w:cs="Times New Roman"/>
        </w:rPr>
        <w:t>s</w:t>
      </w:r>
      <w:r w:rsidRPr="007C56DF">
        <w:rPr>
          <w:rFonts w:ascii="Times New Roman" w:hAnsi="Times New Roman" w:cs="Times New Roman"/>
        </w:rPr>
        <w:t xml:space="preserve"> learned from this research demonstrated that PBS proved most effective when all school-based stakeholders understand the </w:t>
      </w:r>
      <w:r w:rsidR="00B70359" w:rsidRPr="007C56DF">
        <w:rPr>
          <w:rFonts w:ascii="Times New Roman" w:hAnsi="Times New Roman" w:cs="Times New Roman"/>
        </w:rPr>
        <w:t xml:space="preserve">tenets and practice of PBS, commit to the work of implementation, </w:t>
      </w:r>
      <w:r w:rsidRPr="007C56DF">
        <w:rPr>
          <w:rFonts w:ascii="Times New Roman" w:hAnsi="Times New Roman" w:cs="Times New Roman"/>
        </w:rPr>
        <w:t xml:space="preserve">and </w:t>
      </w:r>
      <w:r w:rsidR="00B70359" w:rsidRPr="007C56DF">
        <w:rPr>
          <w:rFonts w:ascii="Times New Roman" w:hAnsi="Times New Roman" w:cs="Times New Roman"/>
        </w:rPr>
        <w:t>engage in continuous improvement of the processes, directed by local data outcomes.</w:t>
      </w:r>
      <w:r w:rsidRPr="007C56DF">
        <w:rPr>
          <w:rFonts w:ascii="Times New Roman" w:hAnsi="Times New Roman" w:cs="Times New Roman"/>
        </w:rPr>
        <w:t xml:space="preserve"> This require</w:t>
      </w:r>
      <w:r w:rsidR="00E427A1" w:rsidRPr="007C56DF">
        <w:rPr>
          <w:rFonts w:ascii="Times New Roman" w:hAnsi="Times New Roman" w:cs="Times New Roman"/>
        </w:rPr>
        <w:t>d</w:t>
      </w:r>
      <w:r w:rsidRPr="007C56DF">
        <w:rPr>
          <w:rFonts w:ascii="Times New Roman" w:hAnsi="Times New Roman" w:cs="Times New Roman"/>
        </w:rPr>
        <w:t xml:space="preserve"> a commitment to ongoing professional development, flexibility for program intensity based on school context and a </w:t>
      </w:r>
      <w:r w:rsidRPr="007C56DF">
        <w:rPr>
          <w:rFonts w:ascii="Times New Roman" w:hAnsi="Times New Roman" w:cs="Times New Roman"/>
        </w:rPr>
        <w:lastRenderedPageBreak/>
        <w:t>willingness to engage with the greater community (</w:t>
      </w:r>
      <w:r w:rsidRPr="007C56DF">
        <w:rPr>
          <w:rFonts w:ascii="Times New Roman" w:hAnsi="Times New Roman" w:cs="Times New Roman"/>
          <w:noProof/>
        </w:rPr>
        <w:t xml:space="preserve">Turnbull, Edmonson, Griggs, Wickham, Sailor, Freeman, Guess, Lassen, McCart, Park, Riffel, Turnbull, &amp; Warren, 2002). </w:t>
      </w:r>
    </w:p>
    <w:p w14:paraId="2C4E5A88" w14:textId="39889CA6" w:rsidR="00E427A1" w:rsidRPr="007C56DF" w:rsidRDefault="00B70359" w:rsidP="007C56DF">
      <w:pPr>
        <w:rPr>
          <w:rFonts w:ascii="Times New Roman" w:hAnsi="Times New Roman" w:cs="Times New Roman"/>
        </w:rPr>
      </w:pPr>
      <w:r w:rsidRPr="007C56DF">
        <w:rPr>
          <w:rFonts w:ascii="Times New Roman" w:hAnsi="Times New Roman" w:cs="Times New Roman"/>
        </w:rPr>
        <w:t>More recently, this same, tiered approach to school change with effort invested in ensuring success of 85% of a school’s student body in universally applied approaches to learning academic content</w:t>
      </w:r>
      <w:r w:rsidR="00A05FC3" w:rsidRPr="007C56DF">
        <w:rPr>
          <w:rFonts w:ascii="Times New Roman" w:hAnsi="Times New Roman" w:cs="Times New Roman"/>
        </w:rPr>
        <w:t xml:space="preserve"> (Cusamano, Algozzine, &amp; Algozzine, 2014)</w:t>
      </w:r>
      <w:r w:rsidRPr="007C56DF">
        <w:rPr>
          <w:rFonts w:ascii="Times New Roman" w:hAnsi="Times New Roman" w:cs="Times New Roman"/>
        </w:rPr>
        <w:t xml:space="preserve">.  Called response to intervention, the tiered approach called for the use of an array of effective, research-based learning processes to be implemented in every classroom.  </w:t>
      </w:r>
      <w:r w:rsidR="001278F3" w:rsidRPr="007C56DF">
        <w:rPr>
          <w:rFonts w:ascii="Times New Roman" w:hAnsi="Times New Roman" w:cs="Times New Roman"/>
        </w:rPr>
        <w:t xml:space="preserve">Predictably, any classroom at the elementary, middle, and secondary level would have a range of learners.  Students might be English language learners, have a range of learning abilities, bring experiences and practices from their own families and life histories, and have a range of familiarity with the codes and expectations for learning in U.S. schools and classrooms.  As mentioned earlier, across the U.S. there is also a wide range of expectations and practices within schools.  Planning for student diversity at the universal access tier, general education classrooms would be geared towards the design and development of access points to the curriculum, offer a number of options for feedback and relearning, and use curriculum-based learning assessments to help teachers gauge the amount and intensity of instruction for individuals and groups of students.  </w:t>
      </w:r>
    </w:p>
    <w:p w14:paraId="494B206C" w14:textId="54F3D6B1" w:rsidR="00B70359" w:rsidRPr="007C56DF" w:rsidRDefault="001278F3" w:rsidP="007C56DF">
      <w:pPr>
        <w:rPr>
          <w:rFonts w:ascii="Times New Roman" w:hAnsi="Times New Roman" w:cs="Times New Roman"/>
        </w:rPr>
      </w:pPr>
      <w:r w:rsidRPr="007C56DF">
        <w:rPr>
          <w:rFonts w:ascii="Times New Roman" w:hAnsi="Times New Roman" w:cs="Times New Roman"/>
        </w:rPr>
        <w:t xml:space="preserve">When this approach at the universal tier does not meet a student’s needs for more intensive instruction, there are second and third tiers of instructional intervention as exist for students with behavioral needs.  What is critical in this model is that school outcomes should measure the degree to which each tier of instruction meets the needs of the 85/10/5 split across students.  Redesign and improvement of curriculum, teaching skills, and assessment is gauged against the degree to which a school is able to continue its successful implementation of the public health model.  </w:t>
      </w:r>
      <w:r w:rsidR="002E1EDE" w:rsidRPr="007C56DF">
        <w:rPr>
          <w:rFonts w:ascii="Times New Roman" w:hAnsi="Times New Roman" w:cs="Times New Roman"/>
        </w:rPr>
        <w:t xml:space="preserve">What these tiered models require is change in how all teachers </w:t>
      </w:r>
      <w:r w:rsidR="002E1EDE" w:rsidRPr="007C56DF">
        <w:rPr>
          <w:rFonts w:ascii="Times New Roman" w:hAnsi="Times New Roman" w:cs="Times New Roman"/>
        </w:rPr>
        <w:lastRenderedPageBreak/>
        <w:t xml:space="preserve">conceptualize and implement their professional practices.  Meeting the needs of students requires that teachers at the universal tier of behavior and academic learning are able to design learning environments for a diverse range of learners and manage the instructional load through distributed learning techniques.  This requires significant change in how the general and special </w:t>
      </w:r>
      <w:r w:rsidR="005B6AB8" w:rsidRPr="007C56DF">
        <w:rPr>
          <w:rFonts w:ascii="Times New Roman" w:hAnsi="Times New Roman" w:cs="Times New Roman"/>
        </w:rPr>
        <w:t>educator workforces are prepared and develop their individual and collective professional identities, and everyday work practices</w:t>
      </w:r>
      <w:r w:rsidR="002E1EDE" w:rsidRPr="007C56DF">
        <w:rPr>
          <w:rFonts w:ascii="Times New Roman" w:hAnsi="Times New Roman" w:cs="Times New Roman"/>
        </w:rPr>
        <w:t>.</w:t>
      </w:r>
    </w:p>
    <w:p w14:paraId="5F8E2348" w14:textId="7F40F2F2" w:rsidR="00D671D1" w:rsidRPr="007C56DF" w:rsidRDefault="00D702A5" w:rsidP="007C56DF">
      <w:pPr>
        <w:pStyle w:val="Heading2"/>
        <w:ind w:firstLine="720"/>
        <w:rPr>
          <w:rFonts w:ascii="Times New Roman" w:hAnsi="Times New Roman" w:cs="Times New Roman"/>
          <w:b w:val="0"/>
        </w:rPr>
      </w:pPr>
      <w:r w:rsidRPr="007C56DF">
        <w:rPr>
          <w:rFonts w:ascii="Times New Roman" w:hAnsi="Times New Roman" w:cs="Times New Roman"/>
        </w:rPr>
        <w:t xml:space="preserve">Assess </w:t>
      </w:r>
      <w:r w:rsidR="00AA5C62" w:rsidRPr="007C56DF">
        <w:rPr>
          <w:rFonts w:ascii="Times New Roman" w:hAnsi="Times New Roman" w:cs="Times New Roman"/>
        </w:rPr>
        <w:t>w</w:t>
      </w:r>
      <w:r w:rsidRPr="007C56DF">
        <w:rPr>
          <w:rFonts w:ascii="Times New Roman" w:hAnsi="Times New Roman" w:cs="Times New Roman"/>
        </w:rPr>
        <w:t xml:space="preserve">hat is </w:t>
      </w:r>
      <w:r w:rsidR="00AA5C62" w:rsidRPr="007C56DF">
        <w:rPr>
          <w:rFonts w:ascii="Times New Roman" w:hAnsi="Times New Roman" w:cs="Times New Roman"/>
        </w:rPr>
        <w:t>t</w:t>
      </w:r>
      <w:r w:rsidRPr="007C56DF">
        <w:rPr>
          <w:rFonts w:ascii="Times New Roman" w:hAnsi="Times New Roman" w:cs="Times New Roman"/>
        </w:rPr>
        <w:t>aught</w:t>
      </w:r>
      <w:r w:rsidR="00AA5C62" w:rsidRPr="007C56DF">
        <w:rPr>
          <w:rFonts w:ascii="Times New Roman" w:hAnsi="Times New Roman" w:cs="Times New Roman"/>
        </w:rPr>
        <w:t xml:space="preserve">. </w:t>
      </w:r>
      <w:r w:rsidR="002D1589" w:rsidRPr="007C56DF">
        <w:rPr>
          <w:rFonts w:ascii="Times New Roman" w:hAnsi="Times New Roman" w:cs="Times New Roman"/>
          <w:b w:val="0"/>
        </w:rPr>
        <w:t>Teacher education policy levers typically focus</w:t>
      </w:r>
      <w:r w:rsidR="00D671D1" w:rsidRPr="007C56DF">
        <w:rPr>
          <w:rFonts w:ascii="Times New Roman" w:hAnsi="Times New Roman" w:cs="Times New Roman"/>
          <w:b w:val="0"/>
        </w:rPr>
        <w:t xml:space="preserve"> on recruiting talented teachers or developing new methods for teacher ev</w:t>
      </w:r>
      <w:r w:rsidR="002D1589" w:rsidRPr="007C56DF">
        <w:rPr>
          <w:rFonts w:ascii="Times New Roman" w:hAnsi="Times New Roman" w:cs="Times New Roman"/>
          <w:b w:val="0"/>
        </w:rPr>
        <w:t>aluation (Ball &amp; Forzani, 2011)</w:t>
      </w:r>
      <w:r w:rsidR="00D671D1" w:rsidRPr="007C56DF">
        <w:rPr>
          <w:rFonts w:ascii="Times New Roman" w:hAnsi="Times New Roman" w:cs="Times New Roman"/>
          <w:b w:val="0"/>
        </w:rPr>
        <w:t xml:space="preserve">. </w:t>
      </w:r>
      <w:r w:rsidR="002D1589" w:rsidRPr="007C56DF">
        <w:rPr>
          <w:rFonts w:ascii="Times New Roman" w:hAnsi="Times New Roman" w:cs="Times New Roman"/>
          <w:b w:val="0"/>
        </w:rPr>
        <w:t>P</w:t>
      </w:r>
      <w:r w:rsidR="00D671D1" w:rsidRPr="007C56DF">
        <w:rPr>
          <w:rFonts w:ascii="Times New Roman" w:hAnsi="Times New Roman" w:cs="Times New Roman"/>
          <w:b w:val="0"/>
        </w:rPr>
        <w:t xml:space="preserve">olicy makers </w:t>
      </w:r>
      <w:r w:rsidR="002D1589" w:rsidRPr="007C56DF">
        <w:rPr>
          <w:rFonts w:ascii="Times New Roman" w:hAnsi="Times New Roman" w:cs="Times New Roman"/>
          <w:b w:val="0"/>
        </w:rPr>
        <w:t xml:space="preserve">typically </w:t>
      </w:r>
      <w:r w:rsidR="00D671D1" w:rsidRPr="007C56DF">
        <w:rPr>
          <w:rFonts w:ascii="Times New Roman" w:hAnsi="Times New Roman" w:cs="Times New Roman"/>
          <w:b w:val="0"/>
        </w:rPr>
        <w:t xml:space="preserve">fail to </w:t>
      </w:r>
      <w:r w:rsidR="00B6462E" w:rsidRPr="007C56DF">
        <w:rPr>
          <w:rFonts w:ascii="Times New Roman" w:hAnsi="Times New Roman" w:cs="Times New Roman"/>
          <w:b w:val="0"/>
        </w:rPr>
        <w:t>account for the non-linearity between</w:t>
      </w:r>
      <w:r w:rsidR="00D671D1" w:rsidRPr="007C56DF">
        <w:rPr>
          <w:rFonts w:ascii="Times New Roman" w:hAnsi="Times New Roman" w:cs="Times New Roman"/>
          <w:b w:val="0"/>
        </w:rPr>
        <w:t xml:space="preserve"> what is being taught</w:t>
      </w:r>
      <w:r w:rsidR="002D1589" w:rsidRPr="007C56DF">
        <w:rPr>
          <w:rFonts w:ascii="Times New Roman" w:hAnsi="Times New Roman" w:cs="Times New Roman"/>
          <w:b w:val="0"/>
        </w:rPr>
        <w:t>, what is learned,</w:t>
      </w:r>
      <w:r w:rsidR="00D671D1" w:rsidRPr="007C56DF">
        <w:rPr>
          <w:rFonts w:ascii="Times New Roman" w:hAnsi="Times New Roman" w:cs="Times New Roman"/>
          <w:b w:val="0"/>
        </w:rPr>
        <w:t xml:space="preserve"> and teacher assessment. As a result, </w:t>
      </w:r>
      <w:r w:rsidR="00B6462E" w:rsidRPr="007C56DF">
        <w:rPr>
          <w:rFonts w:ascii="Times New Roman" w:hAnsi="Times New Roman" w:cs="Times New Roman"/>
          <w:b w:val="0"/>
        </w:rPr>
        <w:t xml:space="preserve">understanding the developmental trajectory that creates </w:t>
      </w:r>
      <w:r w:rsidR="002D1589" w:rsidRPr="007C56DF">
        <w:rPr>
          <w:rFonts w:ascii="Times New Roman" w:hAnsi="Times New Roman" w:cs="Times New Roman"/>
          <w:b w:val="0"/>
        </w:rPr>
        <w:t xml:space="preserve">a </w:t>
      </w:r>
      <w:r w:rsidR="00B6462E" w:rsidRPr="007C56DF">
        <w:rPr>
          <w:rFonts w:ascii="Times New Roman" w:hAnsi="Times New Roman" w:cs="Times New Roman"/>
          <w:b w:val="0"/>
        </w:rPr>
        <w:t xml:space="preserve">high </w:t>
      </w:r>
      <w:r w:rsidR="002D1589" w:rsidRPr="007C56DF">
        <w:rPr>
          <w:rFonts w:ascii="Times New Roman" w:hAnsi="Times New Roman" w:cs="Times New Roman"/>
          <w:b w:val="0"/>
        </w:rPr>
        <w:t>quality teacher</w:t>
      </w:r>
      <w:r w:rsidR="00B6462E" w:rsidRPr="007C56DF">
        <w:rPr>
          <w:rFonts w:ascii="Times New Roman" w:hAnsi="Times New Roman" w:cs="Times New Roman"/>
          <w:b w:val="0"/>
        </w:rPr>
        <w:t xml:space="preserve"> (and for whom and under what conditions)</w:t>
      </w:r>
      <w:r w:rsidR="002D1589" w:rsidRPr="007C56DF">
        <w:rPr>
          <w:rFonts w:ascii="Times New Roman" w:hAnsi="Times New Roman" w:cs="Times New Roman"/>
          <w:b w:val="0"/>
        </w:rPr>
        <w:t xml:space="preserve"> remain</w:t>
      </w:r>
      <w:r w:rsidR="00B6462E" w:rsidRPr="007C56DF">
        <w:rPr>
          <w:rFonts w:ascii="Times New Roman" w:hAnsi="Times New Roman" w:cs="Times New Roman"/>
          <w:b w:val="0"/>
        </w:rPr>
        <w:t>s</w:t>
      </w:r>
      <w:r w:rsidR="002D1589" w:rsidRPr="007C56DF">
        <w:rPr>
          <w:rFonts w:ascii="Times New Roman" w:hAnsi="Times New Roman" w:cs="Times New Roman"/>
          <w:b w:val="0"/>
        </w:rPr>
        <w:t xml:space="preserve"> </w:t>
      </w:r>
      <w:r w:rsidR="00B6462E" w:rsidRPr="007C56DF">
        <w:rPr>
          <w:rFonts w:ascii="Times New Roman" w:hAnsi="Times New Roman" w:cs="Times New Roman"/>
          <w:b w:val="0"/>
        </w:rPr>
        <w:t>poorly conceptualized and understood</w:t>
      </w:r>
      <w:r w:rsidR="002D1589" w:rsidRPr="007C56DF">
        <w:rPr>
          <w:rFonts w:ascii="Times New Roman" w:hAnsi="Times New Roman" w:cs="Times New Roman"/>
          <w:b w:val="0"/>
        </w:rPr>
        <w:t xml:space="preserve">. </w:t>
      </w:r>
      <w:r w:rsidR="00D671D1" w:rsidRPr="007C56DF">
        <w:rPr>
          <w:rFonts w:ascii="Times New Roman" w:hAnsi="Times New Roman" w:cs="Times New Roman"/>
          <w:b w:val="0"/>
        </w:rPr>
        <w:t>Historically, the teaching profession lacks a set of uniform and measurable standards unlike other professional fields such as doctors, air</w:t>
      </w:r>
      <w:r w:rsidR="003816C8" w:rsidRPr="007C56DF">
        <w:rPr>
          <w:rFonts w:ascii="Times New Roman" w:hAnsi="Times New Roman" w:cs="Times New Roman"/>
          <w:b w:val="0"/>
        </w:rPr>
        <w:t>line</w:t>
      </w:r>
      <w:r w:rsidR="00D671D1" w:rsidRPr="007C56DF">
        <w:rPr>
          <w:rFonts w:ascii="Times New Roman" w:hAnsi="Times New Roman" w:cs="Times New Roman"/>
          <w:b w:val="0"/>
        </w:rPr>
        <w:t xml:space="preserve"> pilots, plumbers or hair stylists</w:t>
      </w:r>
      <w:r w:rsidR="00B6462E" w:rsidRPr="007C56DF">
        <w:rPr>
          <w:rFonts w:ascii="Times New Roman" w:hAnsi="Times New Roman" w:cs="Times New Roman"/>
          <w:b w:val="0"/>
        </w:rPr>
        <w:t xml:space="preserve"> (Darling-Hammond, 2010)</w:t>
      </w:r>
      <w:r w:rsidR="00D671D1" w:rsidRPr="007C56DF">
        <w:rPr>
          <w:rFonts w:ascii="Times New Roman" w:hAnsi="Times New Roman" w:cs="Times New Roman"/>
          <w:b w:val="0"/>
        </w:rPr>
        <w:t>. In these fields, licensure is contingent upon the successful mastery of a set of skill</w:t>
      </w:r>
      <w:r w:rsidR="00641426" w:rsidRPr="007C56DF">
        <w:rPr>
          <w:rFonts w:ascii="Times New Roman" w:hAnsi="Times New Roman" w:cs="Times New Roman"/>
          <w:b w:val="0"/>
        </w:rPr>
        <w:t>-</w:t>
      </w:r>
      <w:r w:rsidR="00D671D1" w:rsidRPr="007C56DF">
        <w:rPr>
          <w:rFonts w:ascii="Times New Roman" w:hAnsi="Times New Roman" w:cs="Times New Roman"/>
          <w:b w:val="0"/>
        </w:rPr>
        <w:t>specific professional standards (Ball, 2014). Conversely, teacher standards broadly focus on the process of teaching rather than on the specific skills required to teach</w:t>
      </w:r>
      <w:r w:rsidR="00B6462E" w:rsidRPr="007C56DF">
        <w:rPr>
          <w:rFonts w:ascii="Times New Roman" w:hAnsi="Times New Roman" w:cs="Times New Roman"/>
          <w:b w:val="0"/>
        </w:rPr>
        <w:t xml:space="preserve"> in different</w:t>
      </w:r>
      <w:r w:rsidR="00D671D1" w:rsidRPr="007C56DF">
        <w:rPr>
          <w:rFonts w:ascii="Times New Roman" w:hAnsi="Times New Roman" w:cs="Times New Roman"/>
          <w:b w:val="0"/>
        </w:rPr>
        <w:t xml:space="preserve"> content</w:t>
      </w:r>
      <w:r w:rsidR="00B6462E" w:rsidRPr="007C56DF">
        <w:rPr>
          <w:rFonts w:ascii="Times New Roman" w:hAnsi="Times New Roman" w:cs="Times New Roman"/>
          <w:b w:val="0"/>
        </w:rPr>
        <w:t xml:space="preserve"> areas</w:t>
      </w:r>
      <w:r w:rsidR="00D671D1" w:rsidRPr="007C56DF">
        <w:rPr>
          <w:rFonts w:ascii="Times New Roman" w:hAnsi="Times New Roman" w:cs="Times New Roman"/>
          <w:b w:val="0"/>
        </w:rPr>
        <w:t xml:space="preserve">.  Without a common core of teacher standards and evaluation aligned with those standards, extensive variance in teacher ability will persist. </w:t>
      </w:r>
    </w:p>
    <w:p w14:paraId="6AEC76B7" w14:textId="2F46F97E" w:rsidR="00D671D1" w:rsidRPr="007C56DF" w:rsidRDefault="002D1589" w:rsidP="007C56DF">
      <w:pPr>
        <w:rPr>
          <w:rFonts w:ascii="Times New Roman" w:hAnsi="Times New Roman" w:cs="Times New Roman"/>
        </w:rPr>
      </w:pPr>
      <w:r w:rsidRPr="007C56DF">
        <w:rPr>
          <w:rFonts w:ascii="Times New Roman" w:hAnsi="Times New Roman" w:cs="Times New Roman"/>
        </w:rPr>
        <w:t>I</w:t>
      </w:r>
      <w:r w:rsidR="00D671D1" w:rsidRPr="007C56DF">
        <w:rPr>
          <w:rFonts w:ascii="Times New Roman" w:hAnsi="Times New Roman" w:cs="Times New Roman"/>
        </w:rPr>
        <w:t xml:space="preserve">nstitutions of higher education, policy makers and school leaders </w:t>
      </w:r>
      <w:r w:rsidRPr="007C56DF">
        <w:rPr>
          <w:rFonts w:ascii="Times New Roman" w:hAnsi="Times New Roman" w:cs="Times New Roman"/>
        </w:rPr>
        <w:t xml:space="preserve">share the responsibility of ensuring </w:t>
      </w:r>
      <w:r w:rsidR="00D671D1" w:rsidRPr="007C56DF">
        <w:rPr>
          <w:rFonts w:ascii="Times New Roman" w:hAnsi="Times New Roman" w:cs="Times New Roman"/>
        </w:rPr>
        <w:t>that all teachers have the capacity to be effective educators</w:t>
      </w:r>
      <w:r w:rsidRPr="007C56DF">
        <w:rPr>
          <w:rFonts w:ascii="Times New Roman" w:hAnsi="Times New Roman" w:cs="Times New Roman"/>
        </w:rPr>
        <w:t>.</w:t>
      </w:r>
      <w:r w:rsidR="00D671D1" w:rsidRPr="007C56DF">
        <w:rPr>
          <w:rFonts w:ascii="Times New Roman" w:hAnsi="Times New Roman" w:cs="Times New Roman"/>
        </w:rPr>
        <w:t xml:space="preserve"> With the adoption of the Common Core State Standards, the time</w:t>
      </w:r>
      <w:r w:rsidR="00B6462E" w:rsidRPr="007C56DF">
        <w:rPr>
          <w:rFonts w:ascii="Times New Roman" w:hAnsi="Times New Roman" w:cs="Times New Roman"/>
        </w:rPr>
        <w:t xml:space="preserve"> is</w:t>
      </w:r>
      <w:r w:rsidR="00D671D1" w:rsidRPr="007C56DF">
        <w:rPr>
          <w:rFonts w:ascii="Times New Roman" w:hAnsi="Times New Roman" w:cs="Times New Roman"/>
        </w:rPr>
        <w:t xml:space="preserve"> ripe to correct these missteps of the past </w:t>
      </w:r>
      <w:r w:rsidR="00D671D1" w:rsidRPr="007C56DF">
        <w:rPr>
          <w:rFonts w:ascii="Times New Roman" w:hAnsi="Times New Roman" w:cs="Times New Roman"/>
        </w:rPr>
        <w:fldChar w:fldCharType="begin"/>
      </w:r>
      <w:r w:rsidR="00D671D1" w:rsidRPr="007C56DF">
        <w:rPr>
          <w:rFonts w:ascii="Times New Roman" w:hAnsi="Times New Roman" w:cs="Times New Roman"/>
        </w:rPr>
        <w:instrText xml:space="preserve"> ADDIN EN.CITE &lt;EndNote&gt;&lt;Cite&gt;&lt;Author&gt;Ball&lt;/Author&gt;&lt;Year&gt;2014&lt;/Year&gt;&lt;RecNum&gt;49&lt;/RecNum&gt;&lt;DisplayText&gt;(D. L. Ball, 2014)&lt;/DisplayText&gt;&lt;record&gt;&lt;rec-number&gt;49&lt;/rec-number&gt;&lt;foreign-keys&gt;&lt;key app="EN" db-id="xrsst05f7axrs8e0swcv55dezzz9xzewtz2w" timestamp="1401214820"&gt;49&lt;/key&gt;&lt;/foreign-keys&gt;&lt;ref-type name="Conference Proceedings"&gt;10&lt;/ref-type&gt;&lt;contributors&gt;&lt;authors&gt;&lt;author&gt;Ball, D.L.&lt;/author&gt;&lt;/authors&gt;&lt;/contributors&gt;&lt;titles&gt;&lt;title&gt;(To what and to whom) should teacher preparation hold ourselves accountable?&lt;/title&gt;&lt;secondary-title&gt;American Association for Colleges of Teacher Education (AACTE)&lt;/secondary-title&gt;&lt;/titles&gt;&lt;dates&gt;&lt;year&gt;2014&lt;/year&gt;&lt;pub-dates&gt;&lt;date&gt;March 3, 2014&lt;/date&gt;&lt;/pub-dates&gt;&lt;/dates&gt;&lt;pub-location&gt;Indianapolis, IN&lt;/pub-location&gt;&lt;urls&gt;&lt;/urls&gt;&lt;/record&gt;&lt;/Cite&gt;&lt;/EndNote&gt;</w:instrText>
      </w:r>
      <w:r w:rsidR="00D671D1" w:rsidRPr="007C56DF">
        <w:rPr>
          <w:rFonts w:ascii="Times New Roman" w:hAnsi="Times New Roman" w:cs="Times New Roman"/>
        </w:rPr>
        <w:fldChar w:fldCharType="separate"/>
      </w:r>
      <w:r w:rsidR="00D671D1" w:rsidRPr="007C56DF">
        <w:rPr>
          <w:rFonts w:ascii="Times New Roman" w:hAnsi="Times New Roman" w:cs="Times New Roman"/>
          <w:noProof/>
        </w:rPr>
        <w:t>(</w:t>
      </w:r>
      <w:hyperlink w:anchor="_ENREF_2" w:tooltip="Ball, 2014 #49" w:history="1">
        <w:r w:rsidR="00931F97" w:rsidRPr="007C56DF">
          <w:rPr>
            <w:rFonts w:ascii="Times New Roman" w:hAnsi="Times New Roman" w:cs="Times New Roman"/>
            <w:noProof/>
          </w:rPr>
          <w:t>Ball, 2014</w:t>
        </w:r>
      </w:hyperlink>
      <w:r w:rsidR="00D671D1" w:rsidRPr="007C56DF">
        <w:rPr>
          <w:rFonts w:ascii="Times New Roman" w:hAnsi="Times New Roman" w:cs="Times New Roman"/>
          <w:noProof/>
        </w:rPr>
        <w:t>)</w:t>
      </w:r>
      <w:r w:rsidR="00D671D1" w:rsidRPr="007C56DF">
        <w:rPr>
          <w:rFonts w:ascii="Times New Roman" w:hAnsi="Times New Roman" w:cs="Times New Roman"/>
        </w:rPr>
        <w:fldChar w:fldCharType="end"/>
      </w:r>
      <w:r w:rsidR="00261BEE" w:rsidRPr="007C56DF">
        <w:rPr>
          <w:rFonts w:ascii="Times New Roman" w:hAnsi="Times New Roman" w:cs="Times New Roman"/>
        </w:rPr>
        <w:t>.</w:t>
      </w:r>
      <w:r w:rsidR="00D671D1" w:rsidRPr="007C56DF">
        <w:rPr>
          <w:rFonts w:ascii="Times New Roman" w:hAnsi="Times New Roman" w:cs="Times New Roman"/>
        </w:rPr>
        <w:t xml:space="preserve"> Since state assessments and student performance will be tied to these standards, the profession can begin to identify what Ball and her colleagues call, “high leverage practices to teach high leverage </w:t>
      </w:r>
      <w:r w:rsidR="00D671D1" w:rsidRPr="007C56DF">
        <w:rPr>
          <w:rFonts w:ascii="Times New Roman" w:hAnsi="Times New Roman" w:cs="Times New Roman"/>
        </w:rPr>
        <w:lastRenderedPageBreak/>
        <w:t xml:space="preserve">content (Ball et al., 2011, p. 21).” By this they mean frequent teacher practices that are crucial to student learning combined with the content knowledge integral to grade-level standards. From here, a common core of teacher standards can be developed along with aligned accountability measures. Making sure that a tight relationship exists between what is being taught and what is measured is the only way to ensure that all teachers are of the necessary caliber to teach.  Only then, can a robust system of connecting teacher development to impact on student learning be developed and used effectively. </w:t>
      </w:r>
    </w:p>
    <w:p w14:paraId="0C934A76" w14:textId="3A79FD0A" w:rsidR="00D671D1" w:rsidRPr="007C56DF" w:rsidRDefault="00D671D1" w:rsidP="007C56DF">
      <w:pPr>
        <w:pStyle w:val="Heading2"/>
        <w:ind w:firstLine="720"/>
        <w:rPr>
          <w:rFonts w:ascii="Times New Roman" w:hAnsi="Times New Roman" w:cs="Times New Roman"/>
          <w:b w:val="0"/>
        </w:rPr>
      </w:pPr>
      <w:r w:rsidRPr="007C56DF">
        <w:rPr>
          <w:rFonts w:ascii="Times New Roman" w:hAnsi="Times New Roman" w:cs="Times New Roman"/>
        </w:rPr>
        <w:t xml:space="preserve">Invest in </w:t>
      </w:r>
      <w:r w:rsidR="00AA5C62" w:rsidRPr="007C56DF">
        <w:rPr>
          <w:rFonts w:ascii="Times New Roman" w:hAnsi="Times New Roman" w:cs="Times New Roman"/>
        </w:rPr>
        <w:t>b</w:t>
      </w:r>
      <w:r w:rsidR="00641426" w:rsidRPr="007C56DF">
        <w:rPr>
          <w:rFonts w:ascii="Times New Roman" w:hAnsi="Times New Roman" w:cs="Times New Roman"/>
        </w:rPr>
        <w:t xml:space="preserve">ig </w:t>
      </w:r>
      <w:r w:rsidR="00AA5C62" w:rsidRPr="007C56DF">
        <w:rPr>
          <w:rFonts w:ascii="Times New Roman" w:hAnsi="Times New Roman" w:cs="Times New Roman"/>
        </w:rPr>
        <w:t>d</w:t>
      </w:r>
      <w:r w:rsidR="002273CC" w:rsidRPr="007C56DF">
        <w:rPr>
          <w:rFonts w:ascii="Times New Roman" w:hAnsi="Times New Roman" w:cs="Times New Roman"/>
        </w:rPr>
        <w:t xml:space="preserve">ata </w:t>
      </w:r>
      <w:r w:rsidR="00AA5C62" w:rsidRPr="007C56DF">
        <w:rPr>
          <w:rFonts w:ascii="Times New Roman" w:hAnsi="Times New Roman" w:cs="Times New Roman"/>
        </w:rPr>
        <w:t>i</w:t>
      </w:r>
      <w:r w:rsidR="00D702A5" w:rsidRPr="007C56DF">
        <w:rPr>
          <w:rFonts w:ascii="Times New Roman" w:hAnsi="Times New Roman" w:cs="Times New Roman"/>
        </w:rPr>
        <w:t>nfrastructure</w:t>
      </w:r>
      <w:r w:rsidR="00AA5C62" w:rsidRPr="007C56DF">
        <w:rPr>
          <w:rFonts w:ascii="Times New Roman" w:hAnsi="Times New Roman" w:cs="Times New Roman"/>
        </w:rPr>
        <w:t xml:space="preserve">. </w:t>
      </w:r>
      <w:r w:rsidRPr="007C56DF">
        <w:rPr>
          <w:rFonts w:ascii="Times New Roman" w:hAnsi="Times New Roman" w:cs="Times New Roman"/>
          <w:b w:val="0"/>
        </w:rPr>
        <w:t>In 2013, the Council for the Accreditation of Teacher Preparation Commission (CAEP) presented their recommendations to the Board of Directors (CAEP Accreditation Standards, 2013). In their report, they asserted that teacher preparation programs should develop data collection systems that measure their graduates’ influence on P-12 student achievement. Multiple means of measurement are proposed such as state-supported P-12 impact measures, validated observation instruments, student surveys, and employer surveys to name a few. In turn, like any effective organization, the data will be used to continuously revise and improve program implementation. Furthermore, the outcomes of th</w:t>
      </w:r>
      <w:r w:rsidR="00261BEE" w:rsidRPr="007C56DF">
        <w:rPr>
          <w:rFonts w:ascii="Times New Roman" w:hAnsi="Times New Roman" w:cs="Times New Roman"/>
          <w:b w:val="0"/>
        </w:rPr>
        <w:t>ese</w:t>
      </w:r>
      <w:r w:rsidRPr="007C56DF">
        <w:rPr>
          <w:rFonts w:ascii="Times New Roman" w:hAnsi="Times New Roman" w:cs="Times New Roman"/>
          <w:b w:val="0"/>
        </w:rPr>
        <w:t xml:space="preserve"> data would serve as the basis for accreditation and be made available for public consumption. If implemented successfully, these recommendations have the potential to develop a greater tie </w:t>
      </w:r>
      <w:r w:rsidR="00931F97" w:rsidRPr="007C56DF">
        <w:rPr>
          <w:rFonts w:ascii="Times New Roman" w:hAnsi="Times New Roman" w:cs="Times New Roman"/>
          <w:b w:val="0"/>
        </w:rPr>
        <w:t>between</w:t>
      </w:r>
      <w:r w:rsidRPr="007C56DF">
        <w:rPr>
          <w:rFonts w:ascii="Times New Roman" w:hAnsi="Times New Roman" w:cs="Times New Roman"/>
          <w:b w:val="0"/>
        </w:rPr>
        <w:t xml:space="preserve"> teacher preparation program quality, teacher quality and student learning. </w:t>
      </w:r>
    </w:p>
    <w:p w14:paraId="099C4DA3" w14:textId="2958E017" w:rsidR="00D671D1" w:rsidRPr="007C56DF" w:rsidRDefault="00D671D1" w:rsidP="007C56DF">
      <w:pPr>
        <w:rPr>
          <w:rFonts w:ascii="Times New Roman" w:hAnsi="Times New Roman" w:cs="Times New Roman"/>
        </w:rPr>
      </w:pPr>
      <w:r w:rsidRPr="007C56DF">
        <w:rPr>
          <w:rFonts w:ascii="Times New Roman" w:hAnsi="Times New Roman" w:cs="Times New Roman"/>
        </w:rPr>
        <w:t xml:space="preserve"> The kind of sophistication required to link students’ assessment data to the teachers that taught them is beyond the kind of investment that local schools, districts, and universities can make</w:t>
      </w:r>
      <w:r w:rsidR="004D5323" w:rsidRPr="007C56DF">
        <w:rPr>
          <w:rFonts w:ascii="Times New Roman" w:hAnsi="Times New Roman" w:cs="Times New Roman"/>
        </w:rPr>
        <w:t xml:space="preserve"> individually (Noell, Brownell, Buzick, &amp; Jones, 2014)</w:t>
      </w:r>
      <w:r w:rsidRPr="007C56DF">
        <w:rPr>
          <w:rFonts w:ascii="Times New Roman" w:hAnsi="Times New Roman" w:cs="Times New Roman"/>
        </w:rPr>
        <w:t xml:space="preserve">.  It is often beyond the capacity of states.  While these models should come from work within states, the protocols for these systems need to be built in a way that is both scalable and </w:t>
      </w:r>
      <w:r w:rsidRPr="00452BCF">
        <w:rPr>
          <w:rFonts w:ascii="Times New Roman" w:hAnsi="Times New Roman" w:cs="Times New Roman"/>
        </w:rPr>
        <w:t xml:space="preserve">available for use on handheld mobile devices </w:t>
      </w:r>
      <w:r w:rsidRPr="00452BCF">
        <w:rPr>
          <w:rFonts w:ascii="Times New Roman" w:hAnsi="Times New Roman" w:cs="Times New Roman"/>
        </w:rPr>
        <w:lastRenderedPageBreak/>
        <w:t>that teachers are likely to have access to</w:t>
      </w:r>
      <w:r w:rsidRPr="007C56DF">
        <w:rPr>
          <w:rFonts w:ascii="Times New Roman" w:hAnsi="Times New Roman" w:cs="Times New Roman"/>
        </w:rPr>
        <w:t xml:space="preserve">.  Building the specifications for these systems with teachers who understand how to use data to inform their teaching will be critical.  Too much effort and financial resources are being expended on local solutions, few of which will exist in 10 years.  </w:t>
      </w:r>
      <w:r w:rsidR="002D1589" w:rsidRPr="007C56DF">
        <w:rPr>
          <w:rFonts w:ascii="Times New Roman" w:hAnsi="Times New Roman" w:cs="Times New Roman"/>
        </w:rPr>
        <w:t xml:space="preserve">Instead, we propose a </w:t>
      </w:r>
      <w:r w:rsidRPr="007C56DF">
        <w:rPr>
          <w:rFonts w:ascii="Times New Roman" w:hAnsi="Times New Roman" w:cs="Times New Roman"/>
        </w:rPr>
        <w:t>refocus on building a few of these systems well and then</w:t>
      </w:r>
      <w:r w:rsidR="002D1589" w:rsidRPr="007C56DF">
        <w:rPr>
          <w:rFonts w:ascii="Times New Roman" w:hAnsi="Times New Roman" w:cs="Times New Roman"/>
        </w:rPr>
        <w:t xml:space="preserve">, assessing </w:t>
      </w:r>
      <w:r w:rsidRPr="007C56DF">
        <w:rPr>
          <w:rFonts w:ascii="Times New Roman" w:hAnsi="Times New Roman" w:cs="Times New Roman"/>
        </w:rPr>
        <w:t xml:space="preserve">them in a variety of settings to build their flexibility across multiple forms of formal education.  </w:t>
      </w:r>
    </w:p>
    <w:p w14:paraId="4C5B259B" w14:textId="432BA0DA" w:rsidR="00D671D1" w:rsidRPr="007C56DF" w:rsidRDefault="00D671D1" w:rsidP="007C56DF">
      <w:pPr>
        <w:pStyle w:val="Heading2"/>
        <w:ind w:firstLine="720"/>
        <w:rPr>
          <w:rFonts w:ascii="Times New Roman" w:hAnsi="Times New Roman" w:cs="Times New Roman"/>
          <w:b w:val="0"/>
        </w:rPr>
      </w:pPr>
      <w:r w:rsidRPr="007C56DF">
        <w:rPr>
          <w:rFonts w:ascii="Times New Roman" w:hAnsi="Times New Roman" w:cs="Times New Roman"/>
        </w:rPr>
        <w:t xml:space="preserve">Reward </w:t>
      </w:r>
      <w:r w:rsidR="00AA5C62" w:rsidRPr="007C56DF">
        <w:rPr>
          <w:rFonts w:ascii="Times New Roman" w:hAnsi="Times New Roman" w:cs="Times New Roman"/>
        </w:rPr>
        <w:t>e</w:t>
      </w:r>
      <w:r w:rsidRPr="007C56DF">
        <w:rPr>
          <w:rFonts w:ascii="Times New Roman" w:hAnsi="Times New Roman" w:cs="Times New Roman"/>
        </w:rPr>
        <w:t xml:space="preserve">ffective </w:t>
      </w:r>
      <w:r w:rsidR="00AA5C62" w:rsidRPr="007C56DF">
        <w:rPr>
          <w:rFonts w:ascii="Times New Roman" w:hAnsi="Times New Roman" w:cs="Times New Roman"/>
        </w:rPr>
        <w:t>p</w:t>
      </w:r>
      <w:r w:rsidRPr="007C56DF">
        <w:rPr>
          <w:rFonts w:ascii="Times New Roman" w:hAnsi="Times New Roman" w:cs="Times New Roman"/>
        </w:rPr>
        <w:t xml:space="preserve">ersonnel </w:t>
      </w:r>
      <w:r w:rsidR="00AA5C62" w:rsidRPr="007C56DF">
        <w:rPr>
          <w:rFonts w:ascii="Times New Roman" w:hAnsi="Times New Roman" w:cs="Times New Roman"/>
        </w:rPr>
        <w:t>p</w:t>
      </w:r>
      <w:r w:rsidRPr="007C56DF">
        <w:rPr>
          <w:rFonts w:ascii="Times New Roman" w:hAnsi="Times New Roman" w:cs="Times New Roman"/>
        </w:rPr>
        <w:t>reparation</w:t>
      </w:r>
      <w:r w:rsidR="00AA5C62" w:rsidRPr="007C56DF">
        <w:rPr>
          <w:rFonts w:ascii="Times New Roman" w:hAnsi="Times New Roman" w:cs="Times New Roman"/>
        </w:rPr>
        <w:t xml:space="preserve">. </w:t>
      </w:r>
      <w:r w:rsidR="001278F3" w:rsidRPr="007C56DF">
        <w:rPr>
          <w:rFonts w:ascii="Times New Roman" w:hAnsi="Times New Roman" w:cs="Times New Roman"/>
          <w:b w:val="0"/>
        </w:rPr>
        <w:t xml:space="preserve">Not every teacher education program produces graduates that are well-prepared to work in schools, even when their programs are accredited by their state departments or national accrediting </w:t>
      </w:r>
      <w:r w:rsidR="00E427A1" w:rsidRPr="007C56DF">
        <w:rPr>
          <w:rFonts w:ascii="Times New Roman" w:hAnsi="Times New Roman" w:cs="Times New Roman"/>
          <w:b w:val="0"/>
        </w:rPr>
        <w:t>organizations</w:t>
      </w:r>
      <w:r w:rsidR="00EE3474" w:rsidRPr="007C56DF">
        <w:rPr>
          <w:rFonts w:ascii="Times New Roman" w:hAnsi="Times New Roman" w:cs="Times New Roman"/>
          <w:b w:val="0"/>
        </w:rPr>
        <w:t xml:space="preserve"> (Darling-Hammond, 2010)</w:t>
      </w:r>
      <w:r w:rsidR="00E427A1" w:rsidRPr="007C56DF">
        <w:rPr>
          <w:rFonts w:ascii="Times New Roman" w:hAnsi="Times New Roman" w:cs="Times New Roman"/>
          <w:b w:val="0"/>
        </w:rPr>
        <w:t xml:space="preserve">.  </w:t>
      </w:r>
      <w:r w:rsidR="00277EDD" w:rsidRPr="007C56DF">
        <w:rPr>
          <w:rFonts w:ascii="Times New Roman" w:hAnsi="Times New Roman" w:cs="Times New Roman"/>
          <w:b w:val="0"/>
        </w:rPr>
        <w:t>Practitioners report that s</w:t>
      </w:r>
      <w:r w:rsidR="00D62C89" w:rsidRPr="007C56DF">
        <w:rPr>
          <w:rFonts w:ascii="Times New Roman" w:hAnsi="Times New Roman" w:cs="Times New Roman"/>
          <w:b w:val="0"/>
        </w:rPr>
        <w:t>ome programs produce teachers who are able to teach effectively in their first few years of teaching</w:t>
      </w:r>
      <w:r w:rsidR="009E07F4" w:rsidRPr="007C56DF">
        <w:rPr>
          <w:rFonts w:ascii="Times New Roman" w:hAnsi="Times New Roman" w:cs="Times New Roman"/>
          <w:b w:val="0"/>
        </w:rPr>
        <w:t>; others</w:t>
      </w:r>
      <w:r w:rsidR="00277EDD" w:rsidRPr="007C56DF">
        <w:rPr>
          <w:rFonts w:ascii="Times New Roman" w:hAnsi="Times New Roman" w:cs="Times New Roman"/>
          <w:b w:val="0"/>
        </w:rPr>
        <w:t xml:space="preserve"> do not</w:t>
      </w:r>
      <w:r w:rsidR="00EE3474" w:rsidRPr="007C56DF">
        <w:rPr>
          <w:rFonts w:ascii="Times New Roman" w:hAnsi="Times New Roman" w:cs="Times New Roman"/>
          <w:b w:val="0"/>
        </w:rPr>
        <w:t xml:space="preserve"> (Boyd, Grossman, Lankford, Loeb, &amp; Wyckoff, 2008)</w:t>
      </w:r>
      <w:r w:rsidR="00D62C89" w:rsidRPr="007C56DF">
        <w:rPr>
          <w:rFonts w:ascii="Times New Roman" w:hAnsi="Times New Roman" w:cs="Times New Roman"/>
          <w:b w:val="0"/>
        </w:rPr>
        <w:t>.  Data from their first years of teaching show that some teachers from some programs produce learning trajectories for their classes that track and even exceed their students’ learning trajectories in previous years</w:t>
      </w:r>
      <w:r w:rsidR="00EE3474" w:rsidRPr="007C56DF">
        <w:rPr>
          <w:rFonts w:ascii="Times New Roman" w:hAnsi="Times New Roman" w:cs="Times New Roman"/>
          <w:b w:val="0"/>
        </w:rPr>
        <w:t xml:space="preserve"> (Boyd, Lankford, Loeb, Rocoff, &amp; Wyckoff, 2007)</w:t>
      </w:r>
      <w:r w:rsidR="00D62C89" w:rsidRPr="007C56DF">
        <w:rPr>
          <w:rFonts w:ascii="Times New Roman" w:hAnsi="Times New Roman" w:cs="Times New Roman"/>
          <w:b w:val="0"/>
        </w:rPr>
        <w:t xml:space="preserve">.  They produce these outcomes, even </w:t>
      </w:r>
      <w:r w:rsidR="00277EDD" w:rsidRPr="007C56DF">
        <w:rPr>
          <w:rFonts w:ascii="Times New Roman" w:hAnsi="Times New Roman" w:cs="Times New Roman"/>
          <w:b w:val="0"/>
        </w:rPr>
        <w:t xml:space="preserve">as </w:t>
      </w:r>
      <w:r w:rsidR="00D62C89" w:rsidRPr="007C56DF">
        <w:rPr>
          <w:rFonts w:ascii="Times New Roman" w:hAnsi="Times New Roman" w:cs="Times New Roman"/>
          <w:b w:val="0"/>
        </w:rPr>
        <w:t xml:space="preserve">they continue to increase the number of strategies they are able to draw on with students, manage classroom behavior with </w:t>
      </w:r>
      <w:r w:rsidR="00277EDD" w:rsidRPr="007C56DF">
        <w:rPr>
          <w:rFonts w:ascii="Times New Roman" w:hAnsi="Times New Roman" w:cs="Times New Roman"/>
          <w:b w:val="0"/>
        </w:rPr>
        <w:t>increasing fluidity</w:t>
      </w:r>
      <w:r w:rsidR="00D62C89" w:rsidRPr="007C56DF">
        <w:rPr>
          <w:rFonts w:ascii="Times New Roman" w:hAnsi="Times New Roman" w:cs="Times New Roman"/>
          <w:b w:val="0"/>
        </w:rPr>
        <w:t xml:space="preserve">, and </w:t>
      </w:r>
      <w:r w:rsidR="00277EDD" w:rsidRPr="007C56DF">
        <w:rPr>
          <w:rFonts w:ascii="Times New Roman" w:hAnsi="Times New Roman" w:cs="Times New Roman"/>
          <w:b w:val="0"/>
        </w:rPr>
        <w:t>grow</w:t>
      </w:r>
      <w:r w:rsidR="00D62C89" w:rsidRPr="007C56DF">
        <w:rPr>
          <w:rFonts w:ascii="Times New Roman" w:hAnsi="Times New Roman" w:cs="Times New Roman"/>
          <w:b w:val="0"/>
        </w:rPr>
        <w:t xml:space="preserve"> their ability to plan ahead and provide feedback more efficiently and completely.</w:t>
      </w:r>
      <w:r w:rsidR="00931F97" w:rsidRPr="007C56DF">
        <w:rPr>
          <w:rFonts w:ascii="Times New Roman" w:hAnsi="Times New Roman" w:cs="Times New Roman"/>
          <w:b w:val="0"/>
        </w:rPr>
        <w:t xml:space="preserve">  </w:t>
      </w:r>
      <w:r w:rsidR="00D62C89" w:rsidRPr="007C56DF">
        <w:rPr>
          <w:rFonts w:ascii="Times New Roman" w:hAnsi="Times New Roman" w:cs="Times New Roman"/>
          <w:b w:val="0"/>
        </w:rPr>
        <w:t xml:space="preserve">Some of the studies that compare and contrast novice and expert teachers show that the cognitive load and effort made by beginning teachers shifts from </w:t>
      </w:r>
      <w:r w:rsidR="000B1E5F" w:rsidRPr="007C56DF">
        <w:rPr>
          <w:rFonts w:ascii="Times New Roman" w:hAnsi="Times New Roman" w:cs="Times New Roman"/>
          <w:b w:val="0"/>
        </w:rPr>
        <w:t>immediate, emergency,</w:t>
      </w:r>
      <w:r w:rsidR="00D62C89" w:rsidRPr="007C56DF">
        <w:rPr>
          <w:rFonts w:ascii="Times New Roman" w:hAnsi="Times New Roman" w:cs="Times New Roman"/>
          <w:b w:val="0"/>
        </w:rPr>
        <w:t xml:space="preserve"> and triage decision making to a focus on longer-term, more complex, decision trees focused on identifying and using learning prompts and strategies to promote effective learning outcomes for their students</w:t>
      </w:r>
      <w:r w:rsidR="008F54A6" w:rsidRPr="007C56DF">
        <w:rPr>
          <w:rFonts w:ascii="Times New Roman" w:hAnsi="Times New Roman" w:cs="Times New Roman"/>
          <w:b w:val="0"/>
        </w:rPr>
        <w:t xml:space="preserve"> (Putnam &amp; Borko, 2000)</w:t>
      </w:r>
      <w:r w:rsidR="00D62C89" w:rsidRPr="007C56DF">
        <w:rPr>
          <w:rFonts w:ascii="Times New Roman" w:hAnsi="Times New Roman" w:cs="Times New Roman"/>
          <w:b w:val="0"/>
        </w:rPr>
        <w:t xml:space="preserve">.   Until teacher education programs are recognized and credentialed differentially, based on what kinds of impact their teachers (as a whole) have on learning, it is likely that all of teacher </w:t>
      </w:r>
      <w:r w:rsidR="00D62C89" w:rsidRPr="007C56DF">
        <w:rPr>
          <w:rFonts w:ascii="Times New Roman" w:hAnsi="Times New Roman" w:cs="Times New Roman"/>
          <w:b w:val="0"/>
        </w:rPr>
        <w:lastRenderedPageBreak/>
        <w:t xml:space="preserve">education will be seen as inadequate for the job of preparing the best possible teachers for contemporary </w:t>
      </w:r>
      <w:r w:rsidR="00070DE0" w:rsidRPr="007C56DF">
        <w:rPr>
          <w:rFonts w:ascii="Times New Roman" w:hAnsi="Times New Roman" w:cs="Times New Roman"/>
          <w:b w:val="0"/>
        </w:rPr>
        <w:t>classrooms</w:t>
      </w:r>
      <w:r w:rsidR="00D62C89" w:rsidRPr="007C56DF">
        <w:rPr>
          <w:rFonts w:ascii="Times New Roman" w:hAnsi="Times New Roman" w:cs="Times New Roman"/>
          <w:b w:val="0"/>
        </w:rPr>
        <w:t>.</w:t>
      </w:r>
    </w:p>
    <w:p w14:paraId="5FBE7868" w14:textId="2D1F4CE7" w:rsidR="00D671D1" w:rsidRPr="007C56DF" w:rsidRDefault="00641426" w:rsidP="007C56DF">
      <w:pPr>
        <w:pStyle w:val="Heading2"/>
        <w:ind w:firstLine="720"/>
        <w:rPr>
          <w:rFonts w:ascii="Times New Roman" w:hAnsi="Times New Roman" w:cs="Times New Roman"/>
          <w:b w:val="0"/>
        </w:rPr>
      </w:pPr>
      <w:r w:rsidRPr="007C56DF">
        <w:rPr>
          <w:rFonts w:ascii="Times New Roman" w:hAnsi="Times New Roman" w:cs="Times New Roman"/>
        </w:rPr>
        <w:t xml:space="preserve">Educate with </w:t>
      </w:r>
      <w:r w:rsidR="00AA5C62" w:rsidRPr="007C56DF">
        <w:rPr>
          <w:rFonts w:ascii="Times New Roman" w:hAnsi="Times New Roman" w:cs="Times New Roman"/>
        </w:rPr>
        <w:t>d</w:t>
      </w:r>
      <w:r w:rsidRPr="007C56DF">
        <w:rPr>
          <w:rFonts w:ascii="Times New Roman" w:hAnsi="Times New Roman" w:cs="Times New Roman"/>
        </w:rPr>
        <w:t xml:space="preserve">iversity in </w:t>
      </w:r>
      <w:r w:rsidR="00AA5C62" w:rsidRPr="007C56DF">
        <w:rPr>
          <w:rFonts w:ascii="Times New Roman" w:hAnsi="Times New Roman" w:cs="Times New Roman"/>
        </w:rPr>
        <w:t>m</w:t>
      </w:r>
      <w:r w:rsidRPr="007C56DF">
        <w:rPr>
          <w:rFonts w:ascii="Times New Roman" w:hAnsi="Times New Roman" w:cs="Times New Roman"/>
        </w:rPr>
        <w:t>ind</w:t>
      </w:r>
      <w:r w:rsidR="00AA5C62" w:rsidRPr="007C56DF">
        <w:rPr>
          <w:rFonts w:ascii="Times New Roman" w:hAnsi="Times New Roman" w:cs="Times New Roman"/>
        </w:rPr>
        <w:t xml:space="preserve">. </w:t>
      </w:r>
      <w:r w:rsidR="00D671D1" w:rsidRPr="007C56DF">
        <w:rPr>
          <w:rFonts w:ascii="Times New Roman" w:hAnsi="Times New Roman" w:cs="Times New Roman"/>
          <w:b w:val="0"/>
        </w:rPr>
        <w:t>Teacher preparation programs must prepare teachers to work with the full range of students they will encounter in their classrooms. While on the surface, dual certification programs seem to move towards a greater capacity for culturally responsive teaching, they often take an</w:t>
      </w:r>
      <w:r w:rsidR="00277EDD" w:rsidRPr="007C56DF">
        <w:rPr>
          <w:rFonts w:ascii="Times New Roman" w:hAnsi="Times New Roman" w:cs="Times New Roman"/>
          <w:b w:val="0"/>
        </w:rPr>
        <w:t xml:space="preserve"> additive approach to diversity, so that multiple and intersecting forms of diversity become an additional workload as opposed to being </w:t>
      </w:r>
      <w:r w:rsidR="00DC6CFC" w:rsidRPr="007C56DF">
        <w:rPr>
          <w:rFonts w:ascii="Times New Roman" w:hAnsi="Times New Roman" w:cs="Times New Roman"/>
          <w:b w:val="0"/>
        </w:rPr>
        <w:t>i</w:t>
      </w:r>
      <w:r w:rsidR="00D671D1" w:rsidRPr="007C56DF">
        <w:rPr>
          <w:rFonts w:ascii="Times New Roman" w:hAnsi="Times New Roman" w:cs="Times New Roman"/>
          <w:b w:val="0"/>
        </w:rPr>
        <w:t xml:space="preserve">ntegral to teaching practice (Pugach &amp; Blanton, 2012).  </w:t>
      </w:r>
      <w:r w:rsidR="00DC6CFC" w:rsidRPr="007C56DF">
        <w:rPr>
          <w:rFonts w:ascii="Times New Roman" w:hAnsi="Times New Roman" w:cs="Times New Roman"/>
          <w:b w:val="0"/>
        </w:rPr>
        <w:t>Even when broadening the notion of diversity beyond ability</w:t>
      </w:r>
      <w:r w:rsidR="00D671D1" w:rsidRPr="007C56DF">
        <w:rPr>
          <w:rFonts w:ascii="Times New Roman" w:hAnsi="Times New Roman" w:cs="Times New Roman"/>
          <w:b w:val="0"/>
        </w:rPr>
        <w:t>, courses and instructors commonly spend greater time and focus on dis</w:t>
      </w:r>
      <w:r w:rsidR="00DC6CFC" w:rsidRPr="007C56DF">
        <w:rPr>
          <w:rFonts w:ascii="Times New Roman" w:hAnsi="Times New Roman" w:cs="Times New Roman"/>
          <w:b w:val="0"/>
        </w:rPr>
        <w:t>/</w:t>
      </w:r>
      <w:r w:rsidR="00D671D1" w:rsidRPr="007C56DF">
        <w:rPr>
          <w:rFonts w:ascii="Times New Roman" w:hAnsi="Times New Roman" w:cs="Times New Roman"/>
          <w:b w:val="0"/>
        </w:rPr>
        <w:t xml:space="preserve">ability rather than other identity </w:t>
      </w:r>
      <w:r w:rsidR="00DC6CFC" w:rsidRPr="007C56DF">
        <w:rPr>
          <w:rFonts w:ascii="Times New Roman" w:hAnsi="Times New Roman" w:cs="Times New Roman"/>
          <w:b w:val="0"/>
        </w:rPr>
        <w:t>markers</w:t>
      </w:r>
      <w:r w:rsidR="00D671D1" w:rsidRPr="007C56DF">
        <w:rPr>
          <w:rFonts w:ascii="Times New Roman" w:hAnsi="Times New Roman" w:cs="Times New Roman"/>
          <w:b w:val="0"/>
        </w:rPr>
        <w:t xml:space="preserve"> such as race, language gender, sexuality, or class. Moreover, dis</w:t>
      </w:r>
      <w:r w:rsidR="00DC6CFC" w:rsidRPr="007C56DF">
        <w:rPr>
          <w:rFonts w:ascii="Times New Roman" w:hAnsi="Times New Roman" w:cs="Times New Roman"/>
          <w:b w:val="0"/>
        </w:rPr>
        <w:t>/</w:t>
      </w:r>
      <w:r w:rsidR="00D671D1" w:rsidRPr="007C56DF">
        <w:rPr>
          <w:rFonts w:ascii="Times New Roman" w:hAnsi="Times New Roman" w:cs="Times New Roman"/>
          <w:b w:val="0"/>
        </w:rPr>
        <w:t>ability is rarely couched in terms of its intersection with race and ethnicity and the marginalization of certain minority groups within special education. Without a greater understanding of the role that power and privilege play within the education system, the most skilled teachers will run the risk of perpetuating inequity and exclusivity in their classroom. Pugach et al. deem these dual certification programs as “transitional rather than transformational (p. 265).” Change agents must develop systems that can transform teacher preparation in order to prepare teachers for broad spectrum of students they are bound to encounter.</w:t>
      </w:r>
    </w:p>
    <w:p w14:paraId="291E2A77" w14:textId="60862BEC" w:rsidR="00D671D1" w:rsidRPr="007C56DF" w:rsidRDefault="00D671D1" w:rsidP="007C56DF">
      <w:pPr>
        <w:rPr>
          <w:rFonts w:ascii="Times New Roman" w:hAnsi="Times New Roman" w:cs="Times New Roman"/>
        </w:rPr>
      </w:pPr>
      <w:r w:rsidRPr="007C56DF">
        <w:rPr>
          <w:rFonts w:ascii="Times New Roman" w:hAnsi="Times New Roman" w:cs="Times New Roman"/>
        </w:rPr>
        <w:t>Engineering change around diversity represents a particular challenge in that systems change itself is an exercise in cultural activity (Kozleski</w:t>
      </w:r>
      <w:r w:rsidR="001278F3" w:rsidRPr="007C56DF">
        <w:rPr>
          <w:rFonts w:ascii="Times New Roman" w:hAnsi="Times New Roman" w:cs="Times New Roman"/>
        </w:rPr>
        <w:t xml:space="preserve"> &amp; Huber, 2012). In order to </w:t>
      </w:r>
      <w:r w:rsidRPr="007C56DF">
        <w:rPr>
          <w:rFonts w:ascii="Times New Roman" w:hAnsi="Times New Roman" w:cs="Times New Roman"/>
        </w:rPr>
        <w:t>support greater cultural responsiveness, subst</w:t>
      </w:r>
      <w:r w:rsidR="00945E8F" w:rsidRPr="007C56DF">
        <w:rPr>
          <w:rFonts w:ascii="Times New Roman" w:hAnsi="Times New Roman" w:cs="Times New Roman"/>
        </w:rPr>
        <w:t xml:space="preserve">antive change must begin with a </w:t>
      </w:r>
      <w:r w:rsidRPr="007C56DF">
        <w:rPr>
          <w:rFonts w:ascii="Times New Roman" w:hAnsi="Times New Roman" w:cs="Times New Roman"/>
        </w:rPr>
        <w:t xml:space="preserve">critical analysis of current practices to evaluate the extent they privilege certain groups over others and perpetuate an invisible status quo (Kozleski, Thorius &amp; Smith, 2014).  Through a process of understanding and reflection, participants can identify elements of the system that are resistant to change or too weak </w:t>
      </w:r>
      <w:r w:rsidRPr="007C56DF">
        <w:rPr>
          <w:rFonts w:ascii="Times New Roman" w:hAnsi="Times New Roman" w:cs="Times New Roman"/>
        </w:rPr>
        <w:lastRenderedPageBreak/>
        <w:t xml:space="preserve">to sustain it (Kozleski &amp; Smith, 2008). Transformational change for greater cultural responsiveness in teacher preparation will require this type of critical analysis at all levels including state departments, institutions of higher education and local school districts. Highly skilled teachers of the future must have the capacity to teach in increasingly diverse and complex classrooms.  </w:t>
      </w:r>
      <w:r w:rsidR="00DC6CFC" w:rsidRPr="007C56DF">
        <w:rPr>
          <w:rFonts w:ascii="Times New Roman" w:hAnsi="Times New Roman" w:cs="Times New Roman"/>
        </w:rPr>
        <w:t>The system cannot be inclusive and simultaneously bifurcate the teaching profession so that only some teachers can work with particular groups of students.</w:t>
      </w:r>
    </w:p>
    <w:p w14:paraId="4F78DADD" w14:textId="4A3A167B" w:rsidR="00645D61" w:rsidRPr="007C56DF" w:rsidRDefault="00CD37DF" w:rsidP="005E49B5">
      <w:pPr>
        <w:pStyle w:val="Heading2"/>
        <w:jc w:val="center"/>
        <w:rPr>
          <w:rFonts w:ascii="Times New Roman" w:hAnsi="Times New Roman" w:cs="Times New Roman"/>
        </w:rPr>
      </w:pPr>
      <w:r w:rsidRPr="007C56DF">
        <w:rPr>
          <w:rFonts w:ascii="Times New Roman" w:hAnsi="Times New Roman" w:cs="Times New Roman"/>
          <w:noProof/>
        </w:rPr>
        <w:drawing>
          <wp:anchor distT="0" distB="0" distL="114300" distR="114300" simplePos="0" relativeHeight="251665408" behindDoc="0" locked="0" layoutInCell="1" allowOverlap="1" wp14:anchorId="143A3A7E" wp14:editId="6AC08FD4">
            <wp:simplePos x="0" y="0"/>
            <wp:positionH relativeFrom="margin">
              <wp:posOffset>-49530</wp:posOffset>
            </wp:positionH>
            <wp:positionV relativeFrom="paragraph">
              <wp:posOffset>296545</wp:posOffset>
            </wp:positionV>
            <wp:extent cx="3762375" cy="2872740"/>
            <wp:effectExtent l="0" t="0" r="22225" b="0"/>
            <wp:wrapSquare wrapText="bothSides"/>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margin">
              <wp14:pctWidth>0</wp14:pctWidth>
            </wp14:sizeRelH>
            <wp14:sizeRelV relativeFrom="margin">
              <wp14:pctHeight>0</wp14:pctHeight>
            </wp14:sizeRelV>
          </wp:anchor>
        </w:drawing>
      </w:r>
      <w:r w:rsidR="00645D61" w:rsidRPr="007C56DF">
        <w:rPr>
          <w:rFonts w:ascii="Times New Roman" w:hAnsi="Times New Roman" w:cs="Times New Roman"/>
        </w:rPr>
        <w:t>Summary</w:t>
      </w:r>
    </w:p>
    <w:p w14:paraId="238198B4" w14:textId="214CCB50" w:rsidR="00462571" w:rsidRPr="007C56DF" w:rsidRDefault="000727A4" w:rsidP="007C56DF">
      <w:pPr>
        <w:rPr>
          <w:rFonts w:ascii="Times New Roman" w:hAnsi="Times New Roman" w:cs="Times New Roman"/>
        </w:rPr>
      </w:pPr>
      <w:r w:rsidRPr="007C56DF">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01C9E0C9" wp14:editId="0C09731C">
                <wp:simplePos x="0" y="0"/>
                <wp:positionH relativeFrom="margin">
                  <wp:posOffset>0</wp:posOffset>
                </wp:positionH>
                <wp:positionV relativeFrom="paragraph">
                  <wp:posOffset>2804160</wp:posOffset>
                </wp:positionV>
                <wp:extent cx="2618740" cy="28829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2618740" cy="2882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158832" w14:textId="79E68784" w:rsidR="004507CE" w:rsidRPr="000727A4" w:rsidRDefault="004507CE" w:rsidP="000727A4">
                            <w:pPr>
                              <w:ind w:firstLine="0"/>
                              <w:rPr>
                                <w:rFonts w:ascii="Times New Roman" w:hAnsi="Times New Roman" w:cs="Times New Roman"/>
                              </w:rPr>
                            </w:pPr>
                            <w:r w:rsidRPr="000727A4">
                              <w:rPr>
                                <w:rFonts w:ascii="Times New Roman" w:hAnsi="Times New Roman" w:cs="Times New Roman"/>
                                <w:i/>
                              </w:rPr>
                              <w:t>Figure 3.</w:t>
                            </w:r>
                            <w:r w:rsidRPr="000727A4">
                              <w:rPr>
                                <w:rFonts w:ascii="Times New Roman" w:hAnsi="Times New Roman" w:cs="Times New Roman"/>
                              </w:rPr>
                              <w:t xml:space="preserve">  </w:t>
                            </w:r>
                            <w:r>
                              <w:rPr>
                                <w:rFonts w:ascii="Times New Roman" w:hAnsi="Times New Roman" w:cs="Times New Roman"/>
                              </w:rPr>
                              <w:t>Levers of substantive change</w:t>
                            </w:r>
                            <w:r w:rsidR="00E73D3D">
                              <w:rPr>
                                <w:rFonts w:ascii="Times New Roman" w:hAnsi="Times New Roman" w:cs="Times New Roman"/>
                              </w:rPr>
                              <w:t>.</w:t>
                            </w:r>
                          </w:p>
                          <w:p w14:paraId="6816BBCE" w14:textId="77777777" w:rsidR="004507CE" w:rsidRDefault="004507CE" w:rsidP="000727A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27" type="#_x0000_t202" style="position:absolute;left:0;text-align:left;margin-left:0;margin-top:220.8pt;width:206.2pt;height:22.7pt;z-index:251673600;visibility:visible;mso-wrap-style:non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" fillcolor="white [3201]" stroked="f" strokeweight=".5pt">
                <v:textbox>
                  <w:txbxContent>
                    <w:p w14:paraId="2F158832" w14:textId="79E68784" w:rsidR="004507CE" w:rsidRPr="000727A4" w:rsidRDefault="004507CE" w:rsidP="000727A4">
                      <w:pPr>
                        <w:ind w:firstLine="0"/>
                        <w:rPr>
                          <w:rFonts w:ascii="Times New Roman" w:hAnsi="Times New Roman" w:cs="Times New Roman"/>
                        </w:rPr>
                      </w:pPr>
                      <w:r w:rsidRPr="000727A4">
                        <w:rPr>
                          <w:rFonts w:ascii="Times New Roman" w:hAnsi="Times New Roman" w:cs="Times New Roman"/>
                          <w:i/>
                        </w:rPr>
                        <w:t>Figure 3.</w:t>
                      </w:r>
                      <w:r w:rsidRPr="000727A4">
                        <w:rPr>
                          <w:rFonts w:ascii="Times New Roman" w:hAnsi="Times New Roman" w:cs="Times New Roman"/>
                        </w:rPr>
                        <w:t xml:space="preserve">  </w:t>
                      </w:r>
                      <w:r>
                        <w:rPr>
                          <w:rFonts w:ascii="Times New Roman" w:hAnsi="Times New Roman" w:cs="Times New Roman"/>
                        </w:rPr>
                        <w:t>Levers of substantive change</w:t>
                      </w:r>
                      <w:r w:rsidR="00E73D3D">
                        <w:rPr>
                          <w:rFonts w:ascii="Times New Roman" w:hAnsi="Times New Roman" w:cs="Times New Roman"/>
                        </w:rPr>
                        <w:t>.</w:t>
                      </w:r>
                    </w:p>
                    <w:p w14:paraId="6816BBCE" w14:textId="77777777" w:rsidR="004507CE" w:rsidRDefault="004507CE" w:rsidP="000727A4"/>
                  </w:txbxContent>
                </v:textbox>
                <w10:wrap anchorx="margin"/>
              </v:shape>
            </w:pict>
          </mc:Fallback>
        </mc:AlternateContent>
      </w:r>
      <w:r w:rsidR="00462571" w:rsidRPr="007C56DF">
        <w:rPr>
          <w:rFonts w:ascii="Times New Roman" w:hAnsi="Times New Roman" w:cs="Times New Roman"/>
        </w:rPr>
        <w:t xml:space="preserve">In this section on the levers of substantive change, we made eight recommendations for improving teacher quality, based on a review of the research literature (see Figure 3).  To institute </w:t>
      </w:r>
      <w:r w:rsidR="00070DE0" w:rsidRPr="007C56DF">
        <w:rPr>
          <w:rFonts w:ascii="Times New Roman" w:hAnsi="Times New Roman" w:cs="Times New Roman"/>
        </w:rPr>
        <w:t>t</w:t>
      </w:r>
      <w:r w:rsidR="00462571" w:rsidRPr="007C56DF">
        <w:rPr>
          <w:rFonts w:ascii="Times New Roman" w:hAnsi="Times New Roman" w:cs="Times New Roman"/>
        </w:rPr>
        <w:t xml:space="preserve">hese kinds of large-scale teacher education reform initiatives, we need to identify the kinds of capacity building that need to occur to install and sustain these innovations.  </w:t>
      </w:r>
    </w:p>
    <w:p w14:paraId="1D14970E" w14:textId="7FF7911F" w:rsidR="001A4B81" w:rsidRPr="007C56DF" w:rsidRDefault="001A4B81" w:rsidP="007C56DF">
      <w:pPr>
        <w:pStyle w:val="Heading1"/>
        <w:spacing w:line="480" w:lineRule="auto"/>
        <w:rPr>
          <w:rFonts w:ascii="Times New Roman" w:hAnsi="Times New Roman" w:cs="Times New Roman"/>
        </w:rPr>
      </w:pPr>
      <w:r w:rsidRPr="007C56DF">
        <w:rPr>
          <w:rFonts w:ascii="Times New Roman" w:hAnsi="Times New Roman" w:cs="Times New Roman"/>
        </w:rPr>
        <w:t>Systems that Work</w:t>
      </w:r>
    </w:p>
    <w:p w14:paraId="51F554E6" w14:textId="233861CA" w:rsidR="00462571" w:rsidRPr="007C56DF" w:rsidRDefault="00462571" w:rsidP="007C56DF">
      <w:pPr>
        <w:rPr>
          <w:rFonts w:ascii="Times New Roman" w:hAnsi="Times New Roman" w:cs="Times New Roman"/>
        </w:rPr>
      </w:pPr>
      <w:r w:rsidRPr="007C56DF">
        <w:rPr>
          <w:rFonts w:ascii="Times New Roman" w:hAnsi="Times New Roman" w:cs="Times New Roman"/>
        </w:rPr>
        <w:t xml:space="preserve">Planning for scaling up from the beginning means involving people in multiple systems with a shared understanding of outcomes, methods for achieving those outcomes, measures of program monitoring that demonstrate both fidelity and sustainability across people and changes in leadership, and a process of data-based continuous improvement </w:t>
      </w:r>
      <w:r w:rsidRPr="007C56DF">
        <w:rPr>
          <w:rFonts w:ascii="Times New Roman" w:hAnsi="Times New Roman" w:cs="Times New Roman"/>
        </w:rPr>
        <w:fldChar w:fldCharType="begin"/>
      </w:r>
      <w:r w:rsidRPr="007C56DF">
        <w:rPr>
          <w:rFonts w:ascii="Times New Roman" w:hAnsi="Times New Roman" w:cs="Times New Roman"/>
        </w:rPr>
        <w:instrText xml:space="preserve"> ADDIN EN.CITE &lt;EndNote&gt;&lt;Cite&gt;&lt;Author&gt;Klingner&lt;/Author&gt;&lt;Year&gt;2013&lt;/Year&gt;&lt;RecNum&gt;25&lt;/RecNum&gt;&lt;DisplayText&gt;(Klingner, 2013)&lt;/DisplayText&gt;&lt;record&gt;&lt;rec-number&gt;25&lt;/rec-number&gt;&lt;foreign-keys&gt;&lt;key app="EN" db-id="2wssdxr0kxzv0fe0et5xetd1pwe2aa25erzt"&gt;25&lt;/key&gt;&lt;/foreign-keys&gt;&lt;ref-type name="Journal Article"&gt;17&lt;/ref-type&gt;&lt;contributors&gt;&lt;authors&gt;&lt;author&gt;Klingner, J. K., Boardman, A. G. &amp;amp; McMaster, K. L.&lt;/author&gt;&lt;/authors&gt;&lt;/contributors&gt;&lt;titles&gt;&lt;title&gt;What does it take to scale up and sustain evidence-based practices?&lt;/title&gt;&lt;secondary-title&gt;Council for Exceptional Children&lt;/secondary-title&gt;&lt;/titles&gt;&lt;periodical&gt;&lt;full-title&gt;Council for Exceptional Children&lt;/full-title&gt;&lt;/periodical&gt;&lt;pages&gt;pp. 195-211&lt;/pages&gt;&lt;volume&gt;79&lt;/volume&gt;&lt;number&gt;2&lt;/number&gt;&lt;dates&gt;&lt;year&gt;2013&lt;/year&gt;&lt;/dates&gt;&lt;urls&gt;&lt;/urls&gt;&lt;/record&gt;&lt;/Cite&gt;&lt;/EndNote&gt;</w:instrText>
      </w:r>
      <w:r w:rsidRPr="007C56DF">
        <w:rPr>
          <w:rFonts w:ascii="Times New Roman" w:hAnsi="Times New Roman" w:cs="Times New Roman"/>
        </w:rPr>
        <w:fldChar w:fldCharType="separate"/>
      </w:r>
      <w:r w:rsidRPr="007C56DF">
        <w:rPr>
          <w:rFonts w:ascii="Times New Roman" w:hAnsi="Times New Roman" w:cs="Times New Roman"/>
          <w:noProof/>
        </w:rPr>
        <w:t>(</w:t>
      </w:r>
      <w:hyperlink w:anchor="_ENREF_5" w:tooltip="Klingner, 2013 #25" w:history="1">
        <w:r w:rsidRPr="007C56DF">
          <w:rPr>
            <w:rFonts w:ascii="Times New Roman" w:hAnsi="Times New Roman" w:cs="Times New Roman"/>
            <w:noProof/>
          </w:rPr>
          <w:t>Klingner</w:t>
        </w:r>
        <w:r w:rsidR="00D965F0" w:rsidRPr="007C56DF">
          <w:rPr>
            <w:rFonts w:ascii="Times New Roman" w:hAnsi="Times New Roman" w:cs="Times New Roman"/>
            <w:noProof/>
          </w:rPr>
          <w:t xml:space="preserve"> et al,</w:t>
        </w:r>
        <w:r w:rsidRPr="007C56DF">
          <w:rPr>
            <w:rFonts w:ascii="Times New Roman" w:hAnsi="Times New Roman" w:cs="Times New Roman"/>
            <w:noProof/>
          </w:rPr>
          <w:t xml:space="preserve"> 2013</w:t>
        </w:r>
      </w:hyperlink>
      <w:r w:rsidRPr="007C56DF">
        <w:rPr>
          <w:rFonts w:ascii="Times New Roman" w:hAnsi="Times New Roman" w:cs="Times New Roman"/>
          <w:noProof/>
        </w:rPr>
        <w:t>)</w:t>
      </w:r>
      <w:r w:rsidRPr="007C56DF">
        <w:rPr>
          <w:rFonts w:ascii="Times New Roman" w:hAnsi="Times New Roman" w:cs="Times New Roman"/>
        </w:rPr>
        <w:fldChar w:fldCharType="end"/>
      </w:r>
      <w:r w:rsidRPr="007C56DF">
        <w:rPr>
          <w:rFonts w:ascii="Times New Roman" w:hAnsi="Times New Roman" w:cs="Times New Roman"/>
        </w:rPr>
        <w:t xml:space="preserve">.  </w:t>
      </w:r>
      <w:r w:rsidRPr="007C56DF">
        <w:rPr>
          <w:rFonts w:ascii="Times New Roman" w:hAnsi="Times New Roman" w:cs="Times New Roman"/>
          <w:noProof/>
        </w:rPr>
        <w:t>Fix</w:t>
      </w:r>
      <w:r w:rsidR="00D95093" w:rsidRPr="007C56DF">
        <w:rPr>
          <w:rFonts w:ascii="Times New Roman" w:hAnsi="Times New Roman" w:cs="Times New Roman"/>
          <w:noProof/>
        </w:rPr>
        <w:t>s</w:t>
      </w:r>
      <w:r w:rsidRPr="007C56DF">
        <w:rPr>
          <w:rFonts w:ascii="Times New Roman" w:hAnsi="Times New Roman" w:cs="Times New Roman"/>
          <w:noProof/>
        </w:rPr>
        <w:t xml:space="preserve">en, Naoom, Blase, Friedman, and Wallace  (2005) conducted an extensive literature review of </w:t>
      </w:r>
      <w:r w:rsidRPr="007C56DF">
        <w:rPr>
          <w:rFonts w:ascii="Times New Roman" w:hAnsi="Times New Roman" w:cs="Times New Roman"/>
          <w:noProof/>
        </w:rPr>
        <w:lastRenderedPageBreak/>
        <w:t>implementation research.  Their monograph distills much of what is known about the pathways to implementation that is scaleable across micro, meso, and macro levels.  Here we draw on their work as well as that of a number of researchers and scholars who have attended to how systems adopt and change with and without coordinated efforts to do so.</w:t>
      </w:r>
    </w:p>
    <w:p w14:paraId="01F91BA8" w14:textId="35A25E81" w:rsidR="00627C86" w:rsidRPr="007C56DF" w:rsidRDefault="00F61A2C" w:rsidP="007C56DF">
      <w:pPr>
        <w:rPr>
          <w:rFonts w:ascii="Times New Roman" w:hAnsi="Times New Roman" w:cs="Times New Roman"/>
        </w:rPr>
      </w:pPr>
      <w:r w:rsidRPr="007C56DF">
        <w:rPr>
          <w:rFonts w:ascii="Times New Roman" w:hAnsi="Times New Roman" w:cs="Times New Roman"/>
          <w:noProof/>
        </w:rPr>
        <w:t>We apply this work in particular to the design and transformation of teacher education being mindful that improved, and even transformed, teacher education alone is insufficient to change the outcomes of our national education P-12 or P-16 system.</w:t>
      </w:r>
      <w:r w:rsidR="00F6653B" w:rsidRPr="007C56DF">
        <w:rPr>
          <w:rFonts w:ascii="Times New Roman" w:hAnsi="Times New Roman" w:cs="Times New Roman"/>
          <w:noProof/>
        </w:rPr>
        <w:t xml:space="preserve">  We are </w:t>
      </w:r>
      <w:r w:rsidR="00DC6CFC" w:rsidRPr="007C56DF">
        <w:rPr>
          <w:rFonts w:ascii="Times New Roman" w:hAnsi="Times New Roman" w:cs="Times New Roman"/>
          <w:noProof/>
        </w:rPr>
        <w:t>conscious</w:t>
      </w:r>
      <w:r w:rsidR="00F6653B" w:rsidRPr="007C56DF">
        <w:rPr>
          <w:rFonts w:ascii="Times New Roman" w:hAnsi="Times New Roman" w:cs="Times New Roman"/>
          <w:noProof/>
        </w:rPr>
        <w:t xml:space="preserve"> of the number of levers for systems change that must be in play.  Further, we understand that the participants in this systemic, coordinated, complex process must be deeply committed to ensuring that all four elements of systems change are fully engaged:  (1) exploration; (2) installation; (3) initial implementation and (4) full implementation (Blase &amp; Fix</w:t>
      </w:r>
      <w:r w:rsidR="00D95093" w:rsidRPr="007C56DF">
        <w:rPr>
          <w:rFonts w:ascii="Times New Roman" w:hAnsi="Times New Roman" w:cs="Times New Roman"/>
          <w:noProof/>
        </w:rPr>
        <w:t>s</w:t>
      </w:r>
      <w:r w:rsidR="00F6653B" w:rsidRPr="007C56DF">
        <w:rPr>
          <w:rFonts w:ascii="Times New Roman" w:hAnsi="Times New Roman" w:cs="Times New Roman"/>
          <w:noProof/>
        </w:rPr>
        <w:t>en, 2013).  At issue for teacher education is where does this work in</w:t>
      </w:r>
      <w:r w:rsidR="00DC6CFC" w:rsidRPr="007C56DF">
        <w:rPr>
          <w:rFonts w:ascii="Times New Roman" w:hAnsi="Times New Roman" w:cs="Times New Roman"/>
          <w:noProof/>
        </w:rPr>
        <w:t>i</w:t>
      </w:r>
      <w:r w:rsidR="00F6653B" w:rsidRPr="007C56DF">
        <w:rPr>
          <w:rFonts w:ascii="Times New Roman" w:hAnsi="Times New Roman" w:cs="Times New Roman"/>
          <w:noProof/>
        </w:rPr>
        <w:t>tiate and how does it radiate to all the contiguous, but not necessarily nested, systems.</w:t>
      </w:r>
    </w:p>
    <w:p w14:paraId="718CDB5B" w14:textId="77777777" w:rsidR="00685880" w:rsidRPr="007C56DF" w:rsidRDefault="00685880" w:rsidP="007C56DF">
      <w:pPr>
        <w:pStyle w:val="Heading2"/>
        <w:rPr>
          <w:rFonts w:ascii="Times New Roman" w:hAnsi="Times New Roman" w:cs="Times New Roman"/>
        </w:rPr>
      </w:pPr>
      <w:r w:rsidRPr="007C56DF">
        <w:rPr>
          <w:rFonts w:ascii="Times New Roman" w:hAnsi="Times New Roman" w:cs="Times New Roman"/>
        </w:rPr>
        <w:t xml:space="preserve">Adopting Implementation Science </w:t>
      </w:r>
    </w:p>
    <w:p w14:paraId="7C409434" w14:textId="6AAABF42" w:rsidR="004B21B4" w:rsidRPr="007C56DF" w:rsidRDefault="00B117A9" w:rsidP="007C56DF">
      <w:pPr>
        <w:rPr>
          <w:rFonts w:ascii="Times New Roman" w:hAnsi="Times New Roman" w:cs="Times New Roman"/>
        </w:rPr>
      </w:pPr>
      <w:r w:rsidRPr="007C56DF">
        <w:rPr>
          <w:rFonts w:ascii="Times New Roman" w:hAnsi="Times New Roman" w:cs="Times New Roman"/>
        </w:rPr>
        <w:t>The q</w:t>
      </w:r>
      <w:r w:rsidR="00685880" w:rsidRPr="007C56DF">
        <w:rPr>
          <w:rFonts w:ascii="Times New Roman" w:hAnsi="Times New Roman" w:cs="Times New Roman"/>
        </w:rPr>
        <w:t>uality</w:t>
      </w:r>
      <w:r w:rsidR="00F6653B" w:rsidRPr="007C56DF">
        <w:rPr>
          <w:rFonts w:ascii="Times New Roman" w:hAnsi="Times New Roman" w:cs="Times New Roman"/>
        </w:rPr>
        <w:t xml:space="preserve"> implementation framework tool</w:t>
      </w:r>
      <w:r w:rsidRPr="007C56DF">
        <w:rPr>
          <w:rFonts w:ascii="Times New Roman" w:hAnsi="Times New Roman" w:cs="Times New Roman"/>
        </w:rPr>
        <w:t xml:space="preserve"> </w:t>
      </w:r>
      <w:r w:rsidRPr="007C56DF">
        <w:rPr>
          <w:rFonts w:ascii="Times New Roman" w:hAnsi="Times New Roman" w:cs="Times New Roman"/>
        </w:rPr>
        <w:fldChar w:fldCharType="begin"/>
      </w:r>
      <w:r w:rsidRPr="007C56DF">
        <w:rPr>
          <w:rFonts w:ascii="Times New Roman" w:hAnsi="Times New Roman" w:cs="Times New Roman"/>
        </w:rPr>
        <w:instrText xml:space="preserve"> ADDIN EN.CITE &lt;EndNote&gt;&lt;Cite&gt;&lt;Author&gt;Meyers&lt;/Author&gt;&lt;Year&gt;2012&lt;/Year&gt;&lt;RecNum&gt;33&lt;/RecNum&gt;&lt;DisplayText&gt;(Meyers, 2012)&lt;/DisplayText&gt;&lt;record&gt;&lt;rec-number&gt;33&lt;/rec-number&gt;&lt;foreign-keys&gt;&lt;key app="EN" db-id="2wssdxr0kxzv0fe0et5xetd1pwe2aa25erzt"&gt;33&lt;/key&gt;&lt;/foreign-keys&gt;&lt;ref-type name="Journal Article"&gt;17&lt;/ref-type&gt;&lt;contributors&gt;&lt;authors&gt;&lt;author&gt;Meyers, D. C.; Durlak, J. A.; Wandersman, A.&lt;/author&gt;&lt;/authors&gt;&lt;/contributors&gt;&lt;titles&gt;&lt;title&gt;The quality implementation framework: A synthesis of critical steps in the implementation process&lt;/title&gt;&lt;secondary-title&gt;American Journal of Community Psychology&lt;/secondary-title&gt;&lt;/titles&gt;&lt;periodical&gt;&lt;full-title&gt;American Journal of Community Psychology&lt;/full-title&gt;&lt;/periodical&gt;&lt;pages&gt;462-480&lt;/pages&gt;&lt;volume&gt;50&lt;/volume&gt;&lt;number&gt;3-4&lt;/number&gt;&lt;dates&gt;&lt;year&gt;2012&lt;/year&gt;&lt;pub-dates&gt;&lt;date&gt;December 2012&lt;/date&gt;&lt;/pub-dates&gt;&lt;/dates&gt;&lt;urls&gt;&lt;/urls&gt;&lt;/record&gt;&lt;/Cite&gt;&lt;/EndNote&gt;</w:instrText>
      </w:r>
      <w:r w:rsidRPr="007C56DF">
        <w:rPr>
          <w:rFonts w:ascii="Times New Roman" w:hAnsi="Times New Roman" w:cs="Times New Roman"/>
        </w:rPr>
        <w:fldChar w:fldCharType="separate"/>
      </w:r>
      <w:r w:rsidRPr="007C56DF">
        <w:rPr>
          <w:rFonts w:ascii="Times New Roman" w:hAnsi="Times New Roman" w:cs="Times New Roman"/>
          <w:noProof/>
        </w:rPr>
        <w:t>(</w:t>
      </w:r>
      <w:hyperlink w:anchor="_ENREF_7" w:tooltip="Meyers, 2012 #33" w:history="1">
        <w:r w:rsidRPr="007C56DF">
          <w:rPr>
            <w:rFonts w:ascii="Times New Roman" w:hAnsi="Times New Roman" w:cs="Times New Roman"/>
            <w:noProof/>
          </w:rPr>
          <w:t>Meyers, 2012</w:t>
        </w:r>
      </w:hyperlink>
      <w:r w:rsidRPr="007C56DF">
        <w:rPr>
          <w:rFonts w:ascii="Times New Roman" w:hAnsi="Times New Roman" w:cs="Times New Roman"/>
          <w:noProof/>
        </w:rPr>
        <w:t>)</w:t>
      </w:r>
      <w:r w:rsidRPr="007C56DF">
        <w:rPr>
          <w:rFonts w:ascii="Times New Roman" w:hAnsi="Times New Roman" w:cs="Times New Roman"/>
        </w:rPr>
        <w:fldChar w:fldCharType="end"/>
      </w:r>
      <w:r w:rsidRPr="007C56DF">
        <w:rPr>
          <w:rFonts w:ascii="Times New Roman" w:hAnsi="Times New Roman" w:cs="Times New Roman"/>
        </w:rPr>
        <w:t xml:space="preserve"> outlines three phases of implementation:  (a) synthesis and translation system; (b) the support system; and (c) the delivery system</w:t>
      </w:r>
      <w:r w:rsidR="00685880" w:rsidRPr="007C56DF">
        <w:rPr>
          <w:rFonts w:ascii="Times New Roman" w:hAnsi="Times New Roman" w:cs="Times New Roman"/>
        </w:rPr>
        <w:t xml:space="preserve">.  </w:t>
      </w:r>
      <w:r w:rsidRPr="007C56DF">
        <w:rPr>
          <w:rFonts w:ascii="Times New Roman" w:hAnsi="Times New Roman" w:cs="Times New Roman"/>
        </w:rPr>
        <w:t>Articles</w:t>
      </w:r>
      <w:r w:rsidR="004B21B4" w:rsidRPr="007C56DF">
        <w:rPr>
          <w:rFonts w:ascii="Times New Roman" w:hAnsi="Times New Roman" w:cs="Times New Roman"/>
        </w:rPr>
        <w:t>,</w:t>
      </w:r>
      <w:r w:rsidRPr="007C56DF">
        <w:rPr>
          <w:rFonts w:ascii="Times New Roman" w:hAnsi="Times New Roman" w:cs="Times New Roman"/>
        </w:rPr>
        <w:t xml:space="preserve"> like this one</w:t>
      </w:r>
      <w:r w:rsidR="004B21B4" w:rsidRPr="007C56DF">
        <w:rPr>
          <w:rFonts w:ascii="Times New Roman" w:hAnsi="Times New Roman" w:cs="Times New Roman"/>
        </w:rPr>
        <w:t>,</w:t>
      </w:r>
      <w:r w:rsidRPr="007C56DF">
        <w:rPr>
          <w:rFonts w:ascii="Times New Roman" w:hAnsi="Times New Roman" w:cs="Times New Roman"/>
        </w:rPr>
        <w:t xml:space="preserve"> that synthesiz</w:t>
      </w:r>
      <w:r w:rsidR="009E07F4" w:rsidRPr="007C56DF">
        <w:rPr>
          <w:rFonts w:ascii="Times New Roman" w:hAnsi="Times New Roman" w:cs="Times New Roman"/>
        </w:rPr>
        <w:t>e</w:t>
      </w:r>
      <w:r w:rsidRPr="007C56DF">
        <w:rPr>
          <w:rFonts w:ascii="Times New Roman" w:hAnsi="Times New Roman" w:cs="Times New Roman"/>
        </w:rPr>
        <w:t xml:space="preserve"> the literature and translate it into specific elements for implementation as well as briefs, tools to guide implementation, process </w:t>
      </w:r>
      <w:r w:rsidR="006943EE" w:rsidRPr="007C56DF">
        <w:rPr>
          <w:rFonts w:ascii="Times New Roman" w:hAnsi="Times New Roman" w:cs="Times New Roman"/>
        </w:rPr>
        <w:t xml:space="preserve">guidelines, </w:t>
      </w:r>
      <w:r w:rsidR="006C0EA0" w:rsidRPr="007C56DF">
        <w:rPr>
          <w:rFonts w:ascii="Times New Roman" w:hAnsi="Times New Roman" w:cs="Times New Roman"/>
        </w:rPr>
        <w:t>and web</w:t>
      </w:r>
      <w:r w:rsidR="006943EE" w:rsidRPr="007C56DF">
        <w:rPr>
          <w:rFonts w:ascii="Times New Roman" w:hAnsi="Times New Roman" w:cs="Times New Roman"/>
        </w:rPr>
        <w:t xml:space="preserve">-based dissemination efforts build the capacity of people within systems to claim and use knowledge to examine their own practice and identify needs for change.  </w:t>
      </w:r>
      <w:r w:rsidR="00DC6CFC" w:rsidRPr="007C56DF">
        <w:rPr>
          <w:rFonts w:ascii="Times New Roman" w:hAnsi="Times New Roman" w:cs="Times New Roman"/>
        </w:rPr>
        <w:t xml:space="preserve">This is the work of synthesis and translation. </w:t>
      </w:r>
      <w:r w:rsidR="004B21B4" w:rsidRPr="007C56DF">
        <w:rPr>
          <w:rFonts w:ascii="Times New Roman" w:hAnsi="Times New Roman" w:cs="Times New Roman"/>
        </w:rPr>
        <w:t xml:space="preserve"> The intent is to influence and mobilize knowledge that defines the scale, complexity, and potential consequences of making shifts in the system.  </w:t>
      </w:r>
    </w:p>
    <w:p w14:paraId="43C82107" w14:textId="07D27E8A" w:rsidR="00685880" w:rsidRPr="007C56DF" w:rsidRDefault="00DC6CFC" w:rsidP="007C56DF">
      <w:pPr>
        <w:rPr>
          <w:rFonts w:ascii="Times New Roman" w:hAnsi="Times New Roman" w:cs="Times New Roman"/>
        </w:rPr>
      </w:pPr>
      <w:r w:rsidRPr="007C56DF">
        <w:rPr>
          <w:rFonts w:ascii="Times New Roman" w:hAnsi="Times New Roman" w:cs="Times New Roman"/>
        </w:rPr>
        <w:lastRenderedPageBreak/>
        <w:t>In contrast, t</w:t>
      </w:r>
      <w:r w:rsidR="006943EE" w:rsidRPr="007C56DF">
        <w:rPr>
          <w:rFonts w:ascii="Times New Roman" w:hAnsi="Times New Roman" w:cs="Times New Roman"/>
        </w:rPr>
        <w:t>he support system is designed to offer technical assistance, tools</w:t>
      </w:r>
      <w:r w:rsidR="00053BAB" w:rsidRPr="007C56DF">
        <w:rPr>
          <w:rFonts w:ascii="Times New Roman" w:hAnsi="Times New Roman" w:cs="Times New Roman"/>
        </w:rPr>
        <w:t xml:space="preserve"> to benchmark progress</w:t>
      </w:r>
      <w:r w:rsidR="006943EE" w:rsidRPr="007C56DF">
        <w:rPr>
          <w:rFonts w:ascii="Times New Roman" w:hAnsi="Times New Roman" w:cs="Times New Roman"/>
        </w:rPr>
        <w:t>, coaching, and feedback to systems that commit to change.  Th</w:t>
      </w:r>
      <w:r w:rsidR="004B21B4" w:rsidRPr="007C56DF">
        <w:rPr>
          <w:rFonts w:ascii="Times New Roman" w:hAnsi="Times New Roman" w:cs="Times New Roman"/>
        </w:rPr>
        <w:t>e support system arena</w:t>
      </w:r>
      <w:r w:rsidR="006943EE" w:rsidRPr="007C56DF">
        <w:rPr>
          <w:rFonts w:ascii="Times New Roman" w:hAnsi="Times New Roman" w:cs="Times New Roman"/>
        </w:rPr>
        <w:t xml:space="preserve"> build</w:t>
      </w:r>
      <w:r w:rsidR="004B21B4" w:rsidRPr="007C56DF">
        <w:rPr>
          <w:rFonts w:ascii="Times New Roman" w:hAnsi="Times New Roman" w:cs="Times New Roman"/>
        </w:rPr>
        <w:t>s</w:t>
      </w:r>
      <w:r w:rsidR="006943EE" w:rsidRPr="007C56DF">
        <w:rPr>
          <w:rFonts w:ascii="Times New Roman" w:hAnsi="Times New Roman" w:cs="Times New Roman"/>
        </w:rPr>
        <w:t xml:space="preserve"> the capacity of systems to strengthen their interconnections, install new processes, and develop the systematic feedback loops they need to implement change consistently over time.  Finally, </w:t>
      </w:r>
      <w:r w:rsidRPr="007C56DF">
        <w:rPr>
          <w:rFonts w:ascii="Times New Roman" w:hAnsi="Times New Roman" w:cs="Times New Roman"/>
        </w:rPr>
        <w:t xml:space="preserve">delivery </w:t>
      </w:r>
      <w:r w:rsidR="006943EE" w:rsidRPr="007C56DF">
        <w:rPr>
          <w:rFonts w:ascii="Times New Roman" w:hAnsi="Times New Roman" w:cs="Times New Roman"/>
        </w:rPr>
        <w:t>systems with the organizational structures, human capital, and clearly communicated and shared goals have the capacity to scale their work, move it across systems, and share the results and ongoing improvements being made</w:t>
      </w:r>
      <w:r w:rsidR="002455F4" w:rsidRPr="007C56DF">
        <w:rPr>
          <w:rFonts w:ascii="Times New Roman" w:hAnsi="Times New Roman" w:cs="Times New Roman"/>
        </w:rPr>
        <w:t xml:space="preserve"> (Aladjem, LeFloch, Zhang, Kurki, Boyle, Taylor, Herrmann, Uekawa, Thomsen, Fashola, 2006; Kozleski, Gibson &amp; Hynd</w:t>
      </w:r>
      <w:r w:rsidR="00D95093" w:rsidRPr="007C56DF">
        <w:rPr>
          <w:rFonts w:ascii="Times New Roman" w:hAnsi="Times New Roman" w:cs="Times New Roman"/>
        </w:rPr>
        <w:t>s</w:t>
      </w:r>
      <w:r w:rsidR="002455F4" w:rsidRPr="007C56DF">
        <w:rPr>
          <w:rFonts w:ascii="Times New Roman" w:hAnsi="Times New Roman" w:cs="Times New Roman"/>
        </w:rPr>
        <w:t>, 2011)</w:t>
      </w:r>
      <w:r w:rsidR="006943EE" w:rsidRPr="007C56DF">
        <w:rPr>
          <w:rFonts w:ascii="Times New Roman" w:hAnsi="Times New Roman" w:cs="Times New Roman"/>
        </w:rPr>
        <w:t>.  Any i</w:t>
      </w:r>
      <w:r w:rsidR="00685880" w:rsidRPr="007C56DF">
        <w:rPr>
          <w:rFonts w:ascii="Times New Roman" w:hAnsi="Times New Roman" w:cs="Times New Roman"/>
        </w:rPr>
        <w:t>nnovation need</w:t>
      </w:r>
      <w:r w:rsidR="004B21B4" w:rsidRPr="007C56DF">
        <w:rPr>
          <w:rFonts w:ascii="Times New Roman" w:hAnsi="Times New Roman" w:cs="Times New Roman"/>
        </w:rPr>
        <w:t>s</w:t>
      </w:r>
      <w:r w:rsidR="00685880" w:rsidRPr="007C56DF">
        <w:rPr>
          <w:rFonts w:ascii="Times New Roman" w:hAnsi="Times New Roman" w:cs="Times New Roman"/>
        </w:rPr>
        <w:t xml:space="preserve"> to be well defined and have specific </w:t>
      </w:r>
      <w:r w:rsidR="006943EE" w:rsidRPr="007C56DF">
        <w:rPr>
          <w:rFonts w:ascii="Times New Roman" w:hAnsi="Times New Roman" w:cs="Times New Roman"/>
        </w:rPr>
        <w:t>implementation s</w:t>
      </w:r>
      <w:r w:rsidR="00685880" w:rsidRPr="007C56DF">
        <w:rPr>
          <w:rFonts w:ascii="Times New Roman" w:hAnsi="Times New Roman" w:cs="Times New Roman"/>
        </w:rPr>
        <w:t xml:space="preserve">tandards.  Monitoring and assessing the implementation process is critical.  Documentation of adjustments to implementation is essential for systems learning to occur.  </w:t>
      </w:r>
    </w:p>
    <w:p w14:paraId="4077FD65" w14:textId="2650E149" w:rsidR="00151962" w:rsidRPr="007C56DF" w:rsidRDefault="00053BAB" w:rsidP="007C56DF">
      <w:pPr>
        <w:rPr>
          <w:rFonts w:ascii="Times New Roman" w:hAnsi="Times New Roman" w:cs="Times New Roman"/>
        </w:rPr>
      </w:pPr>
      <w:r w:rsidRPr="007C56DF">
        <w:rPr>
          <w:rFonts w:ascii="Times New Roman" w:hAnsi="Times New Roman" w:cs="Times New Roman"/>
        </w:rPr>
        <w:t xml:space="preserve">All three arenas that support teacher education, the LEAs that host practice sites, the teacher education programs that design and implement the teacher preparation experience, and the SEAs that invest in support systems to ensure a high quality teaching workforce, operate at several levels:  leadership for policy development and implementation, communities of practice that enact the mission of the system, and the individuals who participate in both.  Everyone brings their own set of experiences, histories, cultures, expectations, and missions to the work.  </w:t>
      </w:r>
      <w:r w:rsidR="007C311F" w:rsidRPr="007C56DF">
        <w:rPr>
          <w:rFonts w:ascii="Times New Roman" w:hAnsi="Times New Roman" w:cs="Times New Roman"/>
        </w:rPr>
        <w:t xml:space="preserve">These perspectives add richness to the work and the challenges of moving forward.  They are also one dimension of complexity.  </w:t>
      </w:r>
      <w:r w:rsidR="006943EE" w:rsidRPr="007C56DF">
        <w:rPr>
          <w:rFonts w:ascii="Times New Roman" w:hAnsi="Times New Roman" w:cs="Times New Roman"/>
        </w:rPr>
        <w:t>Innovation and innovation diffusion is predicated on understanding th</w:t>
      </w:r>
      <w:r w:rsidR="007C311F" w:rsidRPr="007C56DF">
        <w:rPr>
          <w:rFonts w:ascii="Times New Roman" w:hAnsi="Times New Roman" w:cs="Times New Roman"/>
        </w:rPr>
        <w:t>is</w:t>
      </w:r>
      <w:r w:rsidR="006943EE" w:rsidRPr="007C56DF">
        <w:rPr>
          <w:rFonts w:ascii="Times New Roman" w:hAnsi="Times New Roman" w:cs="Times New Roman"/>
        </w:rPr>
        <w:t xml:space="preserve"> political</w:t>
      </w:r>
      <w:r w:rsidR="007C311F" w:rsidRPr="007C56DF">
        <w:rPr>
          <w:rFonts w:ascii="Times New Roman" w:hAnsi="Times New Roman" w:cs="Times New Roman"/>
        </w:rPr>
        <w:t xml:space="preserve"> and cultural</w:t>
      </w:r>
      <w:r w:rsidR="006943EE" w:rsidRPr="007C56DF">
        <w:rPr>
          <w:rFonts w:ascii="Times New Roman" w:hAnsi="Times New Roman" w:cs="Times New Roman"/>
        </w:rPr>
        <w:t xml:space="preserve"> dimension of change</w:t>
      </w:r>
      <w:r w:rsidR="005B4AF7" w:rsidRPr="007C56DF">
        <w:rPr>
          <w:rFonts w:ascii="Times New Roman" w:hAnsi="Times New Roman" w:cs="Times New Roman"/>
        </w:rPr>
        <w:t xml:space="preserve"> (Weber &amp; Rohracher, 2012)</w:t>
      </w:r>
      <w:r w:rsidR="006943EE" w:rsidRPr="007C56DF">
        <w:rPr>
          <w:rFonts w:ascii="Times New Roman" w:hAnsi="Times New Roman" w:cs="Times New Roman"/>
        </w:rPr>
        <w:t>.  Within systems at the micro, meso, and macro levels</w:t>
      </w:r>
      <w:r w:rsidR="009E07F4" w:rsidRPr="007C56DF">
        <w:rPr>
          <w:rFonts w:ascii="Times New Roman" w:hAnsi="Times New Roman" w:cs="Times New Roman"/>
        </w:rPr>
        <w:t>,</w:t>
      </w:r>
      <w:r w:rsidR="006943EE" w:rsidRPr="007C56DF">
        <w:rPr>
          <w:rFonts w:ascii="Times New Roman" w:hAnsi="Times New Roman" w:cs="Times New Roman"/>
        </w:rPr>
        <w:t xml:space="preserve"> clear mapping of the </w:t>
      </w:r>
      <w:r w:rsidR="00685880" w:rsidRPr="007C56DF">
        <w:rPr>
          <w:rFonts w:ascii="Times New Roman" w:hAnsi="Times New Roman" w:cs="Times New Roman"/>
        </w:rPr>
        <w:t xml:space="preserve">power distribution within </w:t>
      </w:r>
      <w:r w:rsidR="006943EE" w:rsidRPr="007C56DF">
        <w:rPr>
          <w:rFonts w:ascii="Times New Roman" w:hAnsi="Times New Roman" w:cs="Times New Roman"/>
        </w:rPr>
        <w:t>the</w:t>
      </w:r>
      <w:r w:rsidR="00685880" w:rsidRPr="007C56DF">
        <w:rPr>
          <w:rFonts w:ascii="Times New Roman" w:hAnsi="Times New Roman" w:cs="Times New Roman"/>
        </w:rPr>
        <w:t xml:space="preserve"> organization</w:t>
      </w:r>
      <w:r w:rsidR="00711D9B" w:rsidRPr="007C56DF">
        <w:rPr>
          <w:rFonts w:ascii="Times New Roman" w:hAnsi="Times New Roman" w:cs="Times New Roman"/>
        </w:rPr>
        <w:t>;</w:t>
      </w:r>
      <w:r w:rsidR="00685880" w:rsidRPr="007C56DF">
        <w:rPr>
          <w:rFonts w:ascii="Times New Roman" w:hAnsi="Times New Roman" w:cs="Times New Roman"/>
        </w:rPr>
        <w:t xml:space="preserve"> </w:t>
      </w:r>
      <w:r w:rsidR="006943EE" w:rsidRPr="007C56DF">
        <w:rPr>
          <w:rFonts w:ascii="Times New Roman" w:hAnsi="Times New Roman" w:cs="Times New Roman"/>
        </w:rPr>
        <w:t xml:space="preserve">the current </w:t>
      </w:r>
      <w:r w:rsidR="00685880" w:rsidRPr="007C56DF">
        <w:rPr>
          <w:rFonts w:ascii="Times New Roman" w:hAnsi="Times New Roman" w:cs="Times New Roman"/>
        </w:rPr>
        <w:t>rate of change of organizational innovation (continuous versus occasional)</w:t>
      </w:r>
      <w:r w:rsidR="00711D9B" w:rsidRPr="007C56DF">
        <w:rPr>
          <w:rFonts w:ascii="Times New Roman" w:hAnsi="Times New Roman" w:cs="Times New Roman"/>
        </w:rPr>
        <w:t>;</w:t>
      </w:r>
      <w:r w:rsidR="00685880" w:rsidRPr="007C56DF">
        <w:rPr>
          <w:rFonts w:ascii="Times New Roman" w:hAnsi="Times New Roman" w:cs="Times New Roman"/>
        </w:rPr>
        <w:t xml:space="preserve"> </w:t>
      </w:r>
      <w:r w:rsidR="006943EE" w:rsidRPr="007C56DF">
        <w:rPr>
          <w:rFonts w:ascii="Times New Roman" w:hAnsi="Times New Roman" w:cs="Times New Roman"/>
        </w:rPr>
        <w:t xml:space="preserve">the predicted </w:t>
      </w:r>
      <w:r w:rsidR="00685880" w:rsidRPr="007C56DF">
        <w:rPr>
          <w:rFonts w:ascii="Times New Roman" w:hAnsi="Times New Roman" w:cs="Times New Roman"/>
        </w:rPr>
        <w:t>mental</w:t>
      </w:r>
      <w:r w:rsidR="006943EE" w:rsidRPr="007C56DF">
        <w:rPr>
          <w:rFonts w:ascii="Times New Roman" w:hAnsi="Times New Roman" w:cs="Times New Roman"/>
        </w:rPr>
        <w:t>, informational, and emotional</w:t>
      </w:r>
      <w:r w:rsidR="00685880" w:rsidRPr="007C56DF">
        <w:rPr>
          <w:rFonts w:ascii="Times New Roman" w:hAnsi="Times New Roman" w:cs="Times New Roman"/>
        </w:rPr>
        <w:t xml:space="preserve"> workload on individuals</w:t>
      </w:r>
      <w:r w:rsidR="00711D9B" w:rsidRPr="007C56DF">
        <w:rPr>
          <w:rFonts w:ascii="Times New Roman" w:hAnsi="Times New Roman" w:cs="Times New Roman"/>
        </w:rPr>
        <w:t>;</w:t>
      </w:r>
      <w:r w:rsidR="006943EE" w:rsidRPr="007C56DF">
        <w:rPr>
          <w:rFonts w:ascii="Times New Roman" w:hAnsi="Times New Roman" w:cs="Times New Roman"/>
        </w:rPr>
        <w:t xml:space="preserve"> and</w:t>
      </w:r>
      <w:r w:rsidR="00685880" w:rsidRPr="007C56DF">
        <w:rPr>
          <w:rFonts w:ascii="Times New Roman" w:hAnsi="Times New Roman" w:cs="Times New Roman"/>
        </w:rPr>
        <w:t xml:space="preserve"> </w:t>
      </w:r>
      <w:r w:rsidR="006943EE" w:rsidRPr="007C56DF">
        <w:rPr>
          <w:rFonts w:ascii="Times New Roman" w:hAnsi="Times New Roman" w:cs="Times New Roman"/>
        </w:rPr>
        <w:t xml:space="preserve">the potential </w:t>
      </w:r>
      <w:r w:rsidR="006943EE" w:rsidRPr="007C56DF">
        <w:rPr>
          <w:rFonts w:ascii="Times New Roman" w:hAnsi="Times New Roman" w:cs="Times New Roman"/>
        </w:rPr>
        <w:lastRenderedPageBreak/>
        <w:t xml:space="preserve">meaning of human </w:t>
      </w:r>
      <w:r w:rsidR="00685880" w:rsidRPr="007C56DF">
        <w:rPr>
          <w:rFonts w:ascii="Times New Roman" w:hAnsi="Times New Roman" w:cs="Times New Roman"/>
        </w:rPr>
        <w:t>resistance</w:t>
      </w:r>
      <w:r w:rsidR="006943EE" w:rsidRPr="007C56DF">
        <w:rPr>
          <w:rFonts w:ascii="Times New Roman" w:hAnsi="Times New Roman" w:cs="Times New Roman"/>
        </w:rPr>
        <w:t xml:space="preserve"> need to be discussed, planned for, and address</w:t>
      </w:r>
      <w:r w:rsidR="009E07F4" w:rsidRPr="007C56DF">
        <w:rPr>
          <w:rFonts w:ascii="Times New Roman" w:hAnsi="Times New Roman" w:cs="Times New Roman"/>
        </w:rPr>
        <w:t>ed as part of the change proces</w:t>
      </w:r>
      <w:r w:rsidR="006943EE" w:rsidRPr="007C56DF">
        <w:rPr>
          <w:rFonts w:ascii="Times New Roman" w:hAnsi="Times New Roman" w:cs="Times New Roman"/>
        </w:rPr>
        <w:t>s</w:t>
      </w:r>
      <w:r w:rsidR="004B21B4" w:rsidRPr="007C56DF">
        <w:rPr>
          <w:rFonts w:ascii="Times New Roman" w:hAnsi="Times New Roman" w:cs="Times New Roman"/>
        </w:rPr>
        <w:t xml:space="preserve"> (Kozleski &amp; Artiles, in press)</w:t>
      </w:r>
      <w:r w:rsidR="006943EE" w:rsidRPr="007C56DF">
        <w:rPr>
          <w:rFonts w:ascii="Times New Roman" w:hAnsi="Times New Roman" w:cs="Times New Roman"/>
        </w:rPr>
        <w:t>.</w:t>
      </w:r>
      <w:r w:rsidR="009E07F4" w:rsidRPr="007C56DF">
        <w:rPr>
          <w:rFonts w:ascii="Times New Roman" w:hAnsi="Times New Roman" w:cs="Times New Roman"/>
        </w:rPr>
        <w:t xml:space="preserve">  </w:t>
      </w:r>
      <w:r w:rsidR="00B1520E" w:rsidRPr="007C56DF">
        <w:rPr>
          <w:rFonts w:ascii="Times New Roman" w:hAnsi="Times New Roman" w:cs="Times New Roman"/>
        </w:rPr>
        <w:t xml:space="preserve">While this kind of mapping is context specific inquiry, the mapping tools can be transportable across state contexts.  </w:t>
      </w:r>
      <w:r w:rsidR="00CB15B6" w:rsidRPr="007C56DF">
        <w:rPr>
          <w:rFonts w:ascii="Times New Roman" w:hAnsi="Times New Roman" w:cs="Times New Roman"/>
        </w:rPr>
        <w:t xml:space="preserve">It is important to consider as well that the boundaries between these levels and between the systems and external constituencies and contexts are highly permeable.  </w:t>
      </w:r>
      <w:r w:rsidR="00151962" w:rsidRPr="007C56DF">
        <w:rPr>
          <w:rFonts w:ascii="Times New Roman" w:hAnsi="Times New Roman" w:cs="Times New Roman"/>
        </w:rPr>
        <w:t xml:space="preserve">All three implementation phases (synthesis and translation, support, and delivery) need tools to drive the process in the three teacher education arenas:  LEAs, teacher education programs, and SEAs.  </w:t>
      </w:r>
    </w:p>
    <w:p w14:paraId="3F4B2641" w14:textId="05429B49" w:rsidR="002273CC" w:rsidRPr="007C56DF" w:rsidRDefault="0028565F" w:rsidP="007C56DF">
      <w:pPr>
        <w:pStyle w:val="Heading2"/>
        <w:rPr>
          <w:rFonts w:ascii="Times New Roman" w:hAnsi="Times New Roman" w:cs="Times New Roman"/>
        </w:rPr>
      </w:pPr>
      <w:r w:rsidRPr="007C56DF">
        <w:rPr>
          <w:rFonts w:ascii="Times New Roman" w:hAnsi="Times New Roman" w:cs="Times New Roman"/>
        </w:rPr>
        <w:t>Synthesis and Translation</w:t>
      </w:r>
    </w:p>
    <w:p w14:paraId="16DC3780" w14:textId="10FDA8B4" w:rsidR="00685880" w:rsidRPr="007C56DF" w:rsidRDefault="001729B0" w:rsidP="007C56DF">
      <w:pPr>
        <w:rPr>
          <w:rFonts w:ascii="Times New Roman" w:hAnsi="Times New Roman" w:cs="Times New Roman"/>
        </w:rPr>
      </w:pPr>
      <w:r w:rsidRPr="007C56DF">
        <w:rPr>
          <w:rFonts w:ascii="Times New Roman" w:hAnsi="Times New Roman" w:cs="Times New Roman"/>
        </w:rPr>
        <w:t>I</w:t>
      </w:r>
      <w:r w:rsidR="006943EE" w:rsidRPr="007C56DF">
        <w:rPr>
          <w:rFonts w:ascii="Times New Roman" w:hAnsi="Times New Roman" w:cs="Times New Roman"/>
        </w:rPr>
        <w:t xml:space="preserve">mplementation leaders </w:t>
      </w:r>
      <w:r w:rsidR="00685880" w:rsidRPr="007C56DF">
        <w:rPr>
          <w:rFonts w:ascii="Times New Roman" w:hAnsi="Times New Roman" w:cs="Times New Roman"/>
        </w:rPr>
        <w:t xml:space="preserve">consist </w:t>
      </w:r>
      <w:r w:rsidRPr="007C56DF">
        <w:rPr>
          <w:rFonts w:ascii="Times New Roman" w:hAnsi="Times New Roman" w:cs="Times New Roman"/>
        </w:rPr>
        <w:t>of professionals and the people that they serve</w:t>
      </w:r>
      <w:r w:rsidR="006943EE" w:rsidRPr="007C56DF">
        <w:rPr>
          <w:rFonts w:ascii="Times New Roman" w:hAnsi="Times New Roman" w:cs="Times New Roman"/>
        </w:rPr>
        <w:t xml:space="preserve">. </w:t>
      </w:r>
      <w:r w:rsidRPr="007C56DF">
        <w:rPr>
          <w:rFonts w:ascii="Times New Roman" w:hAnsi="Times New Roman" w:cs="Times New Roman"/>
        </w:rPr>
        <w:t xml:space="preserve">Powerful systems work occurs when multiple perspectives are voiced and have the power to influence </w:t>
      </w:r>
      <w:r w:rsidR="000A1A18" w:rsidRPr="007C56DF">
        <w:rPr>
          <w:rFonts w:ascii="Times New Roman" w:hAnsi="Times New Roman" w:cs="Times New Roman"/>
        </w:rPr>
        <w:t>decision-making</w:t>
      </w:r>
      <w:r w:rsidRPr="007C56DF">
        <w:rPr>
          <w:rFonts w:ascii="Times New Roman" w:hAnsi="Times New Roman" w:cs="Times New Roman"/>
        </w:rPr>
        <w:t xml:space="preserve">.  In education systems, </w:t>
      </w:r>
      <w:r w:rsidR="00274455" w:rsidRPr="007C56DF">
        <w:rPr>
          <w:rFonts w:ascii="Times New Roman" w:hAnsi="Times New Roman" w:cs="Times New Roman"/>
        </w:rPr>
        <w:t xml:space="preserve">teachers, </w:t>
      </w:r>
      <w:r w:rsidRPr="007C56DF">
        <w:rPr>
          <w:rFonts w:ascii="Times New Roman" w:hAnsi="Times New Roman" w:cs="Times New Roman"/>
        </w:rPr>
        <w:t>families and students are often left out of systems change efforts</w:t>
      </w:r>
      <w:r w:rsidR="00713499" w:rsidRPr="007C56DF">
        <w:rPr>
          <w:rFonts w:ascii="Times New Roman" w:hAnsi="Times New Roman" w:cs="Times New Roman"/>
        </w:rPr>
        <w:t>,</w:t>
      </w:r>
      <w:r w:rsidRPr="007C56DF">
        <w:rPr>
          <w:rFonts w:ascii="Times New Roman" w:hAnsi="Times New Roman" w:cs="Times New Roman"/>
        </w:rPr>
        <w:t xml:space="preserve"> but their voices and perspectives are key to the work since they both </w:t>
      </w:r>
      <w:r w:rsidR="00685880" w:rsidRPr="007C56DF">
        <w:rPr>
          <w:rFonts w:ascii="Times New Roman" w:hAnsi="Times New Roman" w:cs="Times New Roman"/>
        </w:rPr>
        <w:t>experienc</w:t>
      </w:r>
      <w:r w:rsidR="002E2962" w:rsidRPr="007C56DF">
        <w:rPr>
          <w:rFonts w:ascii="Times New Roman" w:hAnsi="Times New Roman" w:cs="Times New Roman"/>
        </w:rPr>
        <w:t>e</w:t>
      </w:r>
      <w:r w:rsidR="00685880" w:rsidRPr="007C56DF">
        <w:rPr>
          <w:rFonts w:ascii="Times New Roman" w:hAnsi="Times New Roman" w:cs="Times New Roman"/>
        </w:rPr>
        <w:t xml:space="preserve"> </w:t>
      </w:r>
      <w:r w:rsidR="004B21B4" w:rsidRPr="007C56DF">
        <w:rPr>
          <w:rFonts w:ascii="Times New Roman" w:hAnsi="Times New Roman" w:cs="Times New Roman"/>
        </w:rPr>
        <w:t>and benefit from the design and delivery of education</w:t>
      </w:r>
      <w:r w:rsidR="00274455" w:rsidRPr="007C56DF">
        <w:rPr>
          <w:rFonts w:ascii="Times New Roman" w:hAnsi="Times New Roman" w:cs="Times New Roman"/>
        </w:rPr>
        <w:t xml:space="preserve"> (Lefstein &amp; Perath, 2014)</w:t>
      </w:r>
      <w:r w:rsidR="004B21B4" w:rsidRPr="007C56DF">
        <w:rPr>
          <w:rFonts w:ascii="Times New Roman" w:hAnsi="Times New Roman" w:cs="Times New Roman"/>
        </w:rPr>
        <w:t xml:space="preserve">.  </w:t>
      </w:r>
      <w:r w:rsidR="002E2962" w:rsidRPr="007C56DF">
        <w:rPr>
          <w:rFonts w:ascii="Times New Roman" w:hAnsi="Times New Roman" w:cs="Times New Roman"/>
        </w:rPr>
        <w:t>This mix of professionals and stakeholders is</w:t>
      </w:r>
      <w:r w:rsidR="00685880" w:rsidRPr="007C56DF">
        <w:rPr>
          <w:rFonts w:ascii="Times New Roman" w:hAnsi="Times New Roman" w:cs="Times New Roman"/>
        </w:rPr>
        <w:t xml:space="preserve"> </w:t>
      </w:r>
      <w:r w:rsidR="004B21B4" w:rsidRPr="007C56DF">
        <w:rPr>
          <w:rFonts w:ascii="Times New Roman" w:hAnsi="Times New Roman" w:cs="Times New Roman"/>
        </w:rPr>
        <w:t>vital since the discourse between them</w:t>
      </w:r>
      <w:r w:rsidR="00685880" w:rsidRPr="007C56DF">
        <w:rPr>
          <w:rFonts w:ascii="Times New Roman" w:hAnsi="Times New Roman" w:cs="Times New Roman"/>
        </w:rPr>
        <w:t xml:space="preserve"> disrupt</w:t>
      </w:r>
      <w:r w:rsidR="004B21B4" w:rsidRPr="007C56DF">
        <w:rPr>
          <w:rFonts w:ascii="Times New Roman" w:hAnsi="Times New Roman" w:cs="Times New Roman"/>
        </w:rPr>
        <w:t>s prevailing</w:t>
      </w:r>
      <w:r w:rsidR="00685880" w:rsidRPr="007C56DF">
        <w:rPr>
          <w:rFonts w:ascii="Times New Roman" w:hAnsi="Times New Roman" w:cs="Times New Roman"/>
        </w:rPr>
        <w:t xml:space="preserve"> practice and dialogue.  </w:t>
      </w:r>
      <w:r w:rsidR="002E2962" w:rsidRPr="007C56DF">
        <w:rPr>
          <w:rFonts w:ascii="Times New Roman" w:hAnsi="Times New Roman" w:cs="Times New Roman"/>
        </w:rPr>
        <w:t>When professional communities keep conversation</w:t>
      </w:r>
      <w:r w:rsidR="004B21B4" w:rsidRPr="007C56DF">
        <w:rPr>
          <w:rFonts w:ascii="Times New Roman" w:hAnsi="Times New Roman" w:cs="Times New Roman"/>
        </w:rPr>
        <w:t>s</w:t>
      </w:r>
      <w:r w:rsidR="002E2962" w:rsidRPr="007C56DF">
        <w:rPr>
          <w:rFonts w:ascii="Times New Roman" w:hAnsi="Times New Roman" w:cs="Times New Roman"/>
        </w:rPr>
        <w:t xml:space="preserve"> within their boundaries, they build systems that satisfy their own vision</w:t>
      </w:r>
      <w:r w:rsidR="004B21B4" w:rsidRPr="007C56DF">
        <w:rPr>
          <w:rFonts w:ascii="Times New Roman" w:hAnsi="Times New Roman" w:cs="Times New Roman"/>
        </w:rPr>
        <w:t xml:space="preserve"> and co-constructed identities</w:t>
      </w:r>
      <w:r w:rsidR="005B4AF7" w:rsidRPr="007C56DF">
        <w:rPr>
          <w:rFonts w:ascii="Times New Roman" w:hAnsi="Times New Roman" w:cs="Times New Roman"/>
        </w:rPr>
        <w:t xml:space="preserve"> without input from the users (Weber &amp; Rohracher, 2012).</w:t>
      </w:r>
      <w:r w:rsidR="002E2962" w:rsidRPr="007C56DF">
        <w:rPr>
          <w:rFonts w:ascii="Times New Roman" w:hAnsi="Times New Roman" w:cs="Times New Roman"/>
        </w:rPr>
        <w:t xml:space="preserve">  </w:t>
      </w:r>
      <w:r w:rsidR="009E07F4" w:rsidRPr="007C56DF">
        <w:rPr>
          <w:rFonts w:ascii="Times New Roman" w:hAnsi="Times New Roman" w:cs="Times New Roman"/>
        </w:rPr>
        <w:t xml:space="preserve">There is value in designing systems that include multiple inputs </w:t>
      </w:r>
      <w:r w:rsidR="0028565F" w:rsidRPr="007C56DF">
        <w:rPr>
          <w:rFonts w:ascii="Times New Roman" w:hAnsi="Times New Roman" w:cs="Times New Roman"/>
        </w:rPr>
        <w:t>at multiple intervals</w:t>
      </w:r>
      <w:r w:rsidR="009E07F4" w:rsidRPr="007C56DF">
        <w:rPr>
          <w:rFonts w:ascii="Times New Roman" w:hAnsi="Times New Roman" w:cs="Times New Roman"/>
        </w:rPr>
        <w:t xml:space="preserve"> that account for the needs and aspirations of professional, community (including families), and business stakeholders.  These constituencies foreground different kinds of interests.  </w:t>
      </w:r>
    </w:p>
    <w:p w14:paraId="2691D230" w14:textId="2468C92E" w:rsidR="00C94B8B" w:rsidRDefault="004D5323" w:rsidP="00C94B8B">
      <w:pPr>
        <w:rPr>
          <w:rFonts w:ascii="Times New Roman" w:hAnsi="Times New Roman" w:cs="Times New Roman"/>
        </w:rPr>
      </w:pPr>
      <w:r w:rsidRPr="007C56DF">
        <w:rPr>
          <w:rFonts w:ascii="Times New Roman" w:hAnsi="Times New Roman" w:cs="Times New Roman"/>
        </w:rPr>
        <w:t>The support system, the second of the three phases of implementation</w:t>
      </w:r>
      <w:r w:rsidR="00713499" w:rsidRPr="007C56DF">
        <w:rPr>
          <w:rFonts w:ascii="Times New Roman" w:hAnsi="Times New Roman" w:cs="Times New Roman"/>
        </w:rPr>
        <w:t>,</w:t>
      </w:r>
      <w:r w:rsidRPr="007C56DF">
        <w:rPr>
          <w:rFonts w:ascii="Times New Roman" w:hAnsi="Times New Roman" w:cs="Times New Roman"/>
        </w:rPr>
        <w:t xml:space="preserve"> needs to be built at three levels within states.  The state education agency (SEA), teacher education </w:t>
      </w:r>
      <w:r w:rsidR="00F039B0" w:rsidRPr="007C56DF">
        <w:rPr>
          <w:rFonts w:ascii="Times New Roman" w:hAnsi="Times New Roman" w:cs="Times New Roman"/>
        </w:rPr>
        <w:t>programs,</w:t>
      </w:r>
      <w:r w:rsidRPr="007C56DF">
        <w:rPr>
          <w:rFonts w:ascii="Times New Roman" w:hAnsi="Times New Roman" w:cs="Times New Roman"/>
        </w:rPr>
        <w:t xml:space="preserve"> and local education agencies (LEAs) all have a stake in the quality of </w:t>
      </w:r>
      <w:r w:rsidR="008139A7" w:rsidRPr="007C56DF">
        <w:rPr>
          <w:rFonts w:ascii="Times New Roman" w:hAnsi="Times New Roman" w:cs="Times New Roman"/>
        </w:rPr>
        <w:t>teachers</w:t>
      </w:r>
      <w:r w:rsidR="00070DE0" w:rsidRPr="007C56DF">
        <w:rPr>
          <w:rFonts w:ascii="Times New Roman" w:hAnsi="Times New Roman" w:cs="Times New Roman"/>
        </w:rPr>
        <w:t xml:space="preserve"> as do local </w:t>
      </w:r>
      <w:r w:rsidR="00070DE0" w:rsidRPr="007C56DF">
        <w:rPr>
          <w:rFonts w:ascii="Times New Roman" w:hAnsi="Times New Roman" w:cs="Times New Roman"/>
        </w:rPr>
        <w:lastRenderedPageBreak/>
        <w:t>communities, families and individuals</w:t>
      </w:r>
      <w:r w:rsidR="008139A7" w:rsidRPr="007C56DF">
        <w:rPr>
          <w:rFonts w:ascii="Times New Roman" w:hAnsi="Times New Roman" w:cs="Times New Roman"/>
        </w:rPr>
        <w:t xml:space="preserve">.  </w:t>
      </w:r>
      <w:r w:rsidR="002455F4" w:rsidRPr="007C56DF">
        <w:rPr>
          <w:rFonts w:ascii="Times New Roman" w:hAnsi="Times New Roman" w:cs="Times New Roman"/>
        </w:rPr>
        <w:t xml:space="preserve">Since teachers are highly likely to teach where they grew up, </w:t>
      </w:r>
      <w:r w:rsidR="00803FC0" w:rsidRPr="007C56DF">
        <w:rPr>
          <w:rFonts w:ascii="Times New Roman" w:hAnsi="Times New Roman" w:cs="Times New Roman"/>
        </w:rPr>
        <w:t xml:space="preserve">the focus on improving teacher education outcomes nationally must take into account the need to build capacity within states so that districts (who produce the graduates who go to teaching careers and hire them as they graduate), the teacher education institutions, and the state </w:t>
      </w:r>
      <w:r w:rsidR="002455F4" w:rsidRPr="007C56DF">
        <w:rPr>
          <w:rFonts w:ascii="Times New Roman" w:hAnsi="Times New Roman" w:cs="Times New Roman"/>
        </w:rPr>
        <w:t>education agency</w:t>
      </w:r>
      <w:r w:rsidR="00803FC0" w:rsidRPr="007C56DF">
        <w:rPr>
          <w:rFonts w:ascii="Times New Roman" w:hAnsi="Times New Roman" w:cs="Times New Roman"/>
        </w:rPr>
        <w:t xml:space="preserve"> will </w:t>
      </w:r>
      <w:r w:rsidR="002455F4" w:rsidRPr="007C56DF">
        <w:rPr>
          <w:rFonts w:ascii="Times New Roman" w:hAnsi="Times New Roman" w:cs="Times New Roman"/>
        </w:rPr>
        <w:t>benefit from</w:t>
      </w:r>
      <w:r w:rsidR="00803FC0" w:rsidRPr="007C56DF">
        <w:rPr>
          <w:rFonts w:ascii="Times New Roman" w:hAnsi="Times New Roman" w:cs="Times New Roman"/>
        </w:rPr>
        <w:t xml:space="preserve"> increasing their collective capacity to ensure quantity, quality, and retention.  </w:t>
      </w:r>
      <w:r w:rsidR="00F039B0" w:rsidRPr="007C56DF">
        <w:rPr>
          <w:rFonts w:ascii="Times New Roman" w:hAnsi="Times New Roman" w:cs="Times New Roman"/>
        </w:rPr>
        <w:t>In the next section, we focus on building capacities at the three levels.</w:t>
      </w:r>
    </w:p>
    <w:p w14:paraId="05133164" w14:textId="47F77BDE" w:rsidR="00C94B8B" w:rsidRPr="007C56DF" w:rsidRDefault="00C94B8B" w:rsidP="00C94B8B">
      <w:pPr>
        <w:rPr>
          <w:rFonts w:ascii="Times New Roman" w:hAnsi="Times New Roman" w:cs="Times New Roman"/>
        </w:rPr>
      </w:pPr>
      <w:r w:rsidRPr="00C94B8B">
        <w:rPr>
          <w:rFonts w:ascii="Times New Roman" w:hAnsi="Times New Roman" w:cs="Times New Roman"/>
          <w:i/>
          <w:noProof/>
        </w:rPr>
        <w:drawing>
          <wp:anchor distT="0" distB="0" distL="114300" distR="114300" simplePos="0" relativeHeight="251675648" behindDoc="0" locked="0" layoutInCell="1" allowOverlap="1" wp14:anchorId="16CB4ADA" wp14:editId="53B3664F">
            <wp:simplePos x="0" y="0"/>
            <wp:positionH relativeFrom="margin">
              <wp:posOffset>228600</wp:posOffset>
            </wp:positionH>
            <wp:positionV relativeFrom="paragraph">
              <wp:posOffset>60960</wp:posOffset>
            </wp:positionV>
            <wp:extent cx="5486400" cy="3200400"/>
            <wp:effectExtent l="0" t="0" r="25400" b="25400"/>
            <wp:wrapSquare wrapText="bothSides"/>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anchor>
        </w:drawing>
      </w:r>
      <w:r w:rsidRPr="00C94B8B">
        <w:rPr>
          <w:rFonts w:ascii="Times New Roman" w:hAnsi="Times New Roman" w:cs="Times New Roman"/>
          <w:i/>
        </w:rPr>
        <w:t>Figure 4.</w:t>
      </w:r>
      <w:r>
        <w:rPr>
          <w:rFonts w:ascii="Times New Roman" w:hAnsi="Times New Roman" w:cs="Times New Roman"/>
        </w:rPr>
        <w:t xml:space="preserve"> SEA leadership for effective teacher education</w:t>
      </w:r>
      <w:r w:rsidR="009F42C8">
        <w:rPr>
          <w:rFonts w:ascii="Times New Roman" w:hAnsi="Times New Roman" w:cs="Times New Roman"/>
        </w:rPr>
        <w:t>.</w:t>
      </w:r>
    </w:p>
    <w:p w14:paraId="5A9848ED" w14:textId="77777777" w:rsidR="00D047F4" w:rsidRDefault="00D047F4" w:rsidP="007C56DF">
      <w:pPr>
        <w:pStyle w:val="Heading2"/>
        <w:rPr>
          <w:rFonts w:ascii="Times New Roman" w:hAnsi="Times New Roman" w:cs="Times New Roman"/>
        </w:rPr>
      </w:pPr>
    </w:p>
    <w:p w14:paraId="674BE641" w14:textId="77777777" w:rsidR="002273CC" w:rsidRPr="007C56DF" w:rsidRDefault="0039218F" w:rsidP="007C56DF">
      <w:pPr>
        <w:pStyle w:val="Heading2"/>
        <w:rPr>
          <w:rFonts w:ascii="Times New Roman" w:hAnsi="Times New Roman" w:cs="Times New Roman"/>
        </w:rPr>
      </w:pPr>
      <w:r w:rsidRPr="007C56DF">
        <w:rPr>
          <w:rFonts w:ascii="Times New Roman" w:hAnsi="Times New Roman" w:cs="Times New Roman"/>
        </w:rPr>
        <w:t>Build Capacity at the SEA</w:t>
      </w:r>
    </w:p>
    <w:p w14:paraId="73CE5F8D" w14:textId="77777777" w:rsidR="00452BCF" w:rsidRDefault="00B1520E" w:rsidP="00452BCF">
      <w:pPr>
        <w:rPr>
          <w:rFonts w:ascii="Times New Roman" w:hAnsi="Times New Roman" w:cs="Times New Roman"/>
        </w:rPr>
      </w:pPr>
      <w:r w:rsidRPr="007C56DF">
        <w:rPr>
          <w:rFonts w:ascii="Times New Roman" w:hAnsi="Times New Roman" w:cs="Times New Roman"/>
        </w:rPr>
        <w:t xml:space="preserve">Understanding work that can be accomplished at the SEA level </w:t>
      </w:r>
      <w:r w:rsidR="004B21B4" w:rsidRPr="007C56DF">
        <w:rPr>
          <w:rFonts w:ascii="Times New Roman" w:hAnsi="Times New Roman" w:cs="Times New Roman"/>
        </w:rPr>
        <w:t>to assi</w:t>
      </w:r>
      <w:r w:rsidRPr="007C56DF">
        <w:rPr>
          <w:rFonts w:ascii="Times New Roman" w:hAnsi="Times New Roman" w:cs="Times New Roman"/>
        </w:rPr>
        <w:t>s</w:t>
      </w:r>
      <w:r w:rsidR="004B21B4" w:rsidRPr="007C56DF">
        <w:rPr>
          <w:rFonts w:ascii="Times New Roman" w:hAnsi="Times New Roman" w:cs="Times New Roman"/>
        </w:rPr>
        <w:t>t</w:t>
      </w:r>
      <w:r w:rsidRPr="007C56DF">
        <w:rPr>
          <w:rFonts w:ascii="Times New Roman" w:hAnsi="Times New Roman" w:cs="Times New Roman"/>
        </w:rPr>
        <w:t xml:space="preserve"> improving the quality of teacher impact on students is critical.  The work is three-fold:  (a) work with the organizations that produce teachers to assess the impact of their teachers’ practice </w:t>
      </w:r>
      <w:r w:rsidR="00F039B0" w:rsidRPr="007C56DF">
        <w:rPr>
          <w:rFonts w:ascii="Times New Roman" w:hAnsi="Times New Roman" w:cs="Times New Roman"/>
        </w:rPr>
        <w:t xml:space="preserve">on student outcomes; </w:t>
      </w:r>
      <w:r w:rsidRPr="007C56DF">
        <w:rPr>
          <w:rFonts w:ascii="Times New Roman" w:hAnsi="Times New Roman" w:cs="Times New Roman"/>
        </w:rPr>
        <w:t>(b) work with schools (and LEAs) to ensure that new teachers have the structures and opportunities to implement effective practice in their classrooms and with their colleagues</w:t>
      </w:r>
      <w:r w:rsidR="0028565F" w:rsidRPr="007C56DF">
        <w:rPr>
          <w:rFonts w:ascii="Times New Roman" w:hAnsi="Times New Roman" w:cs="Times New Roman"/>
        </w:rPr>
        <w:t xml:space="preserve">; and (c) </w:t>
      </w:r>
      <w:r w:rsidR="0028565F" w:rsidRPr="007C56DF">
        <w:rPr>
          <w:rFonts w:ascii="Times New Roman" w:hAnsi="Times New Roman" w:cs="Times New Roman"/>
        </w:rPr>
        <w:lastRenderedPageBreak/>
        <w:t xml:space="preserve">create a system to measure the impact of teachers in the field.  </w:t>
      </w:r>
      <w:r w:rsidRPr="007C56DF">
        <w:rPr>
          <w:rFonts w:ascii="Times New Roman" w:hAnsi="Times New Roman" w:cs="Times New Roman"/>
        </w:rPr>
        <w:t>Because of the number of complex, intervening variables that make value added measures of teacher outcomes suspect, state measures of education program outcomes must rely on multiple measures of success.  These measures of teacher effectiveness should include (a) evidence of growth in student learning and competency</w:t>
      </w:r>
      <w:r w:rsidR="00B445B2" w:rsidRPr="007C56DF">
        <w:rPr>
          <w:rFonts w:ascii="Times New Roman" w:hAnsi="Times New Roman" w:cs="Times New Roman"/>
        </w:rPr>
        <w:t xml:space="preserve"> in teacher education programs </w:t>
      </w:r>
      <w:r w:rsidR="00713499" w:rsidRPr="007C56DF">
        <w:rPr>
          <w:rFonts w:ascii="Times New Roman" w:hAnsi="Times New Roman" w:cs="Times New Roman"/>
        </w:rPr>
        <w:t xml:space="preserve">and </w:t>
      </w:r>
      <w:r w:rsidRPr="007C56DF">
        <w:rPr>
          <w:rFonts w:ascii="Times New Roman" w:hAnsi="Times New Roman" w:cs="Times New Roman"/>
        </w:rPr>
        <w:t>(b) evidence of instructional quality</w:t>
      </w:r>
      <w:r w:rsidR="007D6492" w:rsidRPr="007C56DF">
        <w:rPr>
          <w:rFonts w:ascii="Times New Roman" w:hAnsi="Times New Roman" w:cs="Times New Roman"/>
        </w:rPr>
        <w:t xml:space="preserve"> (Hanuschek &amp; Rivkin, 2010).  </w:t>
      </w:r>
      <w:r w:rsidR="0065068D" w:rsidRPr="007C56DF">
        <w:rPr>
          <w:rFonts w:ascii="Times New Roman" w:hAnsi="Times New Roman" w:cs="Times New Roman"/>
        </w:rPr>
        <w:t xml:space="preserve">Teacher effectiveness data should be linked to programs </w:t>
      </w:r>
      <w:r w:rsidR="0065068D" w:rsidRPr="007C56DF">
        <w:rPr>
          <w:rFonts w:ascii="Times New Roman" w:hAnsi="Times New Roman" w:cs="Times New Roman"/>
          <w:i/>
        </w:rPr>
        <w:t>and</w:t>
      </w:r>
      <w:r w:rsidR="0065068D" w:rsidRPr="007C56DF">
        <w:rPr>
          <w:rFonts w:ascii="Times New Roman" w:hAnsi="Times New Roman" w:cs="Times New Roman"/>
        </w:rPr>
        <w:t xml:space="preserve"> to the school systems where teachers practice.  </w:t>
      </w:r>
    </w:p>
    <w:p w14:paraId="52CA1823" w14:textId="1D12AF5C" w:rsidR="00C94B8B" w:rsidRPr="007C56DF" w:rsidRDefault="002B6FA6" w:rsidP="00C94B8B">
      <w:pPr>
        <w:rPr>
          <w:rFonts w:ascii="Times New Roman" w:hAnsi="Times New Roman" w:cs="Times New Roman"/>
        </w:rPr>
      </w:pPr>
      <w:r w:rsidRPr="007C56DF">
        <w:rPr>
          <w:rFonts w:ascii="Times New Roman" w:hAnsi="Times New Roman" w:cs="Times New Roman"/>
        </w:rPr>
        <w:t xml:space="preserve">The State Implementation and Scaling-up of Evidence Practice (SISEP) center suggests the use of an implementation framework to help systems reach their change goals.  Systems need to build </w:t>
      </w:r>
      <w:r w:rsidR="002F04EE" w:rsidRPr="007C56DF">
        <w:rPr>
          <w:rFonts w:ascii="Times New Roman" w:hAnsi="Times New Roman" w:cs="Times New Roman"/>
        </w:rPr>
        <w:t>human competencies throughout</w:t>
      </w:r>
      <w:r w:rsidRPr="007C56DF">
        <w:rPr>
          <w:rFonts w:ascii="Times New Roman" w:hAnsi="Times New Roman" w:cs="Times New Roman"/>
        </w:rPr>
        <w:t xml:space="preserve"> </w:t>
      </w:r>
      <w:r w:rsidR="002F04EE" w:rsidRPr="007C56DF">
        <w:rPr>
          <w:rFonts w:ascii="Times New Roman" w:hAnsi="Times New Roman" w:cs="Times New Roman"/>
        </w:rPr>
        <w:t>their system.  They do this by focusing on how new members are selected, how they are educated, coached, and assessed.  From a cultural historical perspective, this addresses how the community of practice within the SEA is designed, enriched, and expanded.  Organizational drivers, from a technical perspective, deal with the design and use of data-based decision systems, the ways in which the administrative support structure facilitates growth and change in the organization, and how systemic analytics inform where and how change and improvement is focused.  Leadership is key to this work, both technical (making sure systems are working effectively) and adaptive (the capacity to be reflexive as contexts shift).  Employing all three levers, nurturing an effective, systems thinking community of practice, oiling the administrative infrastructure so that it works smoothly in the background, and leading through both technical and adaptive approaches, will enable SEAs to provide the kind of external leadership they need to enhance the quality of teachers and teaching in their states</w:t>
      </w:r>
      <w:r w:rsidR="00953E77" w:rsidRPr="007C56DF">
        <w:rPr>
          <w:rFonts w:ascii="Times New Roman" w:hAnsi="Times New Roman" w:cs="Times New Roman"/>
        </w:rPr>
        <w:t xml:space="preserve"> (Fixsen, Naoom, Blase, Friedman, &amp; Wallace, 2005)</w:t>
      </w:r>
      <w:r w:rsidR="002F04EE" w:rsidRPr="007C56DF">
        <w:rPr>
          <w:rFonts w:ascii="Times New Roman" w:hAnsi="Times New Roman" w:cs="Times New Roman"/>
        </w:rPr>
        <w:t>.</w:t>
      </w:r>
    </w:p>
    <w:p w14:paraId="0ADBA4D4" w14:textId="128C127B" w:rsidR="002455F4" w:rsidRPr="007C56DF" w:rsidRDefault="002455F4" w:rsidP="007C56DF">
      <w:pPr>
        <w:rPr>
          <w:rFonts w:ascii="Times New Roman" w:hAnsi="Times New Roman" w:cs="Times New Roman"/>
        </w:rPr>
      </w:pPr>
      <w:r w:rsidRPr="007C56DF">
        <w:rPr>
          <w:rFonts w:ascii="Times New Roman" w:hAnsi="Times New Roman" w:cs="Times New Roman"/>
        </w:rPr>
        <w:lastRenderedPageBreak/>
        <w:t xml:space="preserve">Capacity building at the SEA level also must move the work of SEAs from compliance and monitoring to support structures that serve as bridge builders between the three legs of teacher education reform:  (1) teacher education institutions focused on providing the practice-based, robust instructional practices that link how teachers </w:t>
      </w:r>
      <w:r w:rsidR="00D44CD4" w:rsidRPr="007C56DF">
        <w:rPr>
          <w:rFonts w:ascii="Times New Roman" w:hAnsi="Times New Roman" w:cs="Times New Roman"/>
        </w:rPr>
        <w:t>design and deliver instruction</w:t>
      </w:r>
      <w:r w:rsidRPr="007C56DF">
        <w:rPr>
          <w:rFonts w:ascii="Times New Roman" w:hAnsi="Times New Roman" w:cs="Times New Roman"/>
        </w:rPr>
        <w:t xml:space="preserve"> to </w:t>
      </w:r>
      <w:r w:rsidR="00D44CD4" w:rsidRPr="007C56DF">
        <w:rPr>
          <w:rFonts w:ascii="Times New Roman" w:hAnsi="Times New Roman" w:cs="Times New Roman"/>
        </w:rPr>
        <w:t>deep knowledge of the disciplines that they teach</w:t>
      </w:r>
      <w:r w:rsidR="005B4AF7" w:rsidRPr="007C56DF">
        <w:rPr>
          <w:rFonts w:ascii="Times New Roman" w:hAnsi="Times New Roman" w:cs="Times New Roman"/>
        </w:rPr>
        <w:t xml:space="preserve"> (Ball &amp; Forzani, 2009)</w:t>
      </w:r>
      <w:r w:rsidR="00D44CD4" w:rsidRPr="007C56DF">
        <w:rPr>
          <w:rFonts w:ascii="Times New Roman" w:hAnsi="Times New Roman" w:cs="Times New Roman"/>
        </w:rPr>
        <w:t>; (2) local LEAs whose practices and experiences inspire future teachers and support the development of professional communities of practice</w:t>
      </w:r>
      <w:r w:rsidR="005B4AF7" w:rsidRPr="007C56DF">
        <w:rPr>
          <w:rFonts w:ascii="Times New Roman" w:hAnsi="Times New Roman" w:cs="Times New Roman"/>
        </w:rPr>
        <w:t xml:space="preserve"> (Darling-Hammond, 2012)</w:t>
      </w:r>
      <w:r w:rsidR="00D44CD4" w:rsidRPr="007C56DF">
        <w:rPr>
          <w:rFonts w:ascii="Times New Roman" w:hAnsi="Times New Roman" w:cs="Times New Roman"/>
        </w:rPr>
        <w:t xml:space="preserve">; and (3) the SEA </w:t>
      </w:r>
      <w:r w:rsidR="00274455" w:rsidRPr="007C56DF">
        <w:rPr>
          <w:rFonts w:ascii="Times New Roman" w:hAnsi="Times New Roman" w:cs="Times New Roman"/>
        </w:rPr>
        <w:t>that</w:t>
      </w:r>
      <w:r w:rsidR="00D44CD4" w:rsidRPr="007C56DF">
        <w:rPr>
          <w:rFonts w:ascii="Times New Roman" w:hAnsi="Times New Roman" w:cs="Times New Roman"/>
        </w:rPr>
        <w:t xml:space="preserve"> creates and supports policies that enable these partnerships to flourish.</w:t>
      </w:r>
    </w:p>
    <w:p w14:paraId="1A56C496" w14:textId="6695967B" w:rsidR="00C94B8B" w:rsidRPr="007C56DF" w:rsidRDefault="00530262" w:rsidP="00AA6030">
      <w:pPr>
        <w:rPr>
          <w:rFonts w:ascii="Times New Roman" w:hAnsi="Times New Roman" w:cs="Times New Roman"/>
        </w:rPr>
      </w:pPr>
      <w:r w:rsidRPr="007C56DF">
        <w:rPr>
          <w:rFonts w:ascii="Times New Roman" w:hAnsi="Times New Roman" w:cs="Times New Roman"/>
        </w:rPr>
        <w:t xml:space="preserve">Pugach and Blanton (2009) remind us that </w:t>
      </w:r>
      <w:r w:rsidR="005C2403" w:rsidRPr="007C56DF">
        <w:rPr>
          <w:rFonts w:ascii="Times New Roman" w:hAnsi="Times New Roman" w:cs="Times New Roman"/>
        </w:rPr>
        <w:t>the Office of Special Education Programs (</w:t>
      </w:r>
      <w:r w:rsidRPr="007C56DF">
        <w:rPr>
          <w:rFonts w:ascii="Times New Roman" w:hAnsi="Times New Roman" w:cs="Times New Roman"/>
        </w:rPr>
        <w:t>OSEP</w:t>
      </w:r>
      <w:r w:rsidR="005C2403" w:rsidRPr="007C56DF">
        <w:rPr>
          <w:rFonts w:ascii="Times New Roman" w:hAnsi="Times New Roman" w:cs="Times New Roman"/>
        </w:rPr>
        <w:t>)</w:t>
      </w:r>
      <w:r w:rsidRPr="007C56DF">
        <w:rPr>
          <w:rFonts w:ascii="Times New Roman" w:hAnsi="Times New Roman" w:cs="Times New Roman"/>
        </w:rPr>
        <w:t xml:space="preserve"> inve</w:t>
      </w:r>
      <w:r w:rsidR="00610FC7" w:rsidRPr="007C56DF">
        <w:rPr>
          <w:rFonts w:ascii="Times New Roman" w:hAnsi="Times New Roman" w:cs="Times New Roman"/>
        </w:rPr>
        <w:t xml:space="preserve">sted several times in supporting general education program redesign to prepare general educators to work with students with disabilities.  They also suggest that a strong, evidence based research program, focused on five dimensions, could help the field build deeper understanding of and success in program redesign.  These five dimensions identify important aspects of teacher education program design:  (a) curricular coherence, (b) faculty collaboration; (c) depth of knowledge; (d) performance/portfolio assessments; and (e) PK-12 partnerships (Pugach &amp; Blanton, 2009).  </w:t>
      </w:r>
      <w:r w:rsidR="00625901" w:rsidRPr="007C56DF">
        <w:rPr>
          <w:rFonts w:ascii="Times New Roman" w:hAnsi="Times New Roman" w:cs="Times New Roman"/>
        </w:rPr>
        <w:t>These kinds of frameworks might be useful as SEAs help build the capacity within states to forge more robust teacher education to prepare all educators to teach students with disabilities.</w:t>
      </w:r>
      <w:r w:rsidR="00C94B8B" w:rsidRPr="00C94B8B">
        <w:rPr>
          <w:rFonts w:ascii="Times New Roman" w:hAnsi="Times New Roman" w:cs="Times New Roman"/>
          <w:noProof/>
        </w:rPr>
        <w:t xml:space="preserve"> </w:t>
      </w:r>
    </w:p>
    <w:p w14:paraId="6A0890DF" w14:textId="659E97D2" w:rsidR="00702991" w:rsidRPr="007C56DF" w:rsidRDefault="0065068D" w:rsidP="007C56DF">
      <w:pPr>
        <w:pStyle w:val="Heading2"/>
        <w:rPr>
          <w:rFonts w:ascii="Times New Roman" w:hAnsi="Times New Roman" w:cs="Times New Roman"/>
        </w:rPr>
      </w:pPr>
      <w:r w:rsidRPr="007C56DF">
        <w:rPr>
          <w:rFonts w:ascii="Times New Roman" w:hAnsi="Times New Roman" w:cs="Times New Roman"/>
        </w:rPr>
        <w:t xml:space="preserve">Build </w:t>
      </w:r>
      <w:r w:rsidR="00702991" w:rsidRPr="007C56DF">
        <w:rPr>
          <w:rFonts w:ascii="Times New Roman" w:hAnsi="Times New Roman" w:cs="Times New Roman"/>
        </w:rPr>
        <w:t>C</w:t>
      </w:r>
      <w:r w:rsidR="009F601E" w:rsidRPr="007C56DF">
        <w:rPr>
          <w:rFonts w:ascii="Times New Roman" w:hAnsi="Times New Roman" w:cs="Times New Roman"/>
        </w:rPr>
        <w:t>a</w:t>
      </w:r>
      <w:r w:rsidR="00702991" w:rsidRPr="007C56DF">
        <w:rPr>
          <w:rFonts w:ascii="Times New Roman" w:hAnsi="Times New Roman" w:cs="Times New Roman"/>
        </w:rPr>
        <w:t>pacity in Teacher Education I</w:t>
      </w:r>
      <w:r w:rsidRPr="007C56DF">
        <w:rPr>
          <w:rFonts w:ascii="Times New Roman" w:hAnsi="Times New Roman" w:cs="Times New Roman"/>
        </w:rPr>
        <w:t>nstitutions</w:t>
      </w:r>
    </w:p>
    <w:p w14:paraId="28441FE2" w14:textId="79BE695B" w:rsidR="00C94B8B" w:rsidRDefault="009F601E" w:rsidP="007C56DF">
      <w:pPr>
        <w:rPr>
          <w:rFonts w:ascii="Times New Roman" w:hAnsi="Times New Roman" w:cs="Times New Roman"/>
        </w:rPr>
      </w:pPr>
      <w:r w:rsidRPr="007C56DF">
        <w:rPr>
          <w:rFonts w:ascii="Times New Roman" w:hAnsi="Times New Roman" w:cs="Times New Roman"/>
        </w:rPr>
        <w:t xml:space="preserve">For the most part, the professional standards that </w:t>
      </w:r>
      <w:r w:rsidR="0052211C" w:rsidRPr="007C56DF">
        <w:rPr>
          <w:rFonts w:ascii="Times New Roman" w:hAnsi="Times New Roman" w:cs="Times New Roman"/>
        </w:rPr>
        <w:t>address</w:t>
      </w:r>
      <w:r w:rsidRPr="007C56DF">
        <w:rPr>
          <w:rFonts w:ascii="Times New Roman" w:hAnsi="Times New Roman" w:cs="Times New Roman"/>
        </w:rPr>
        <w:t xml:space="preserve"> teacher education (e.g., CAEP) and specific professional branches of teacher education (e.g., special education) leave the design and development of curriculum and assessment up to individual programs. </w:t>
      </w:r>
      <w:r w:rsidR="0052211C" w:rsidRPr="007C56DF">
        <w:rPr>
          <w:rFonts w:ascii="Times New Roman" w:hAnsi="Times New Roman" w:cs="Times New Roman"/>
        </w:rPr>
        <w:t xml:space="preserve">Programs vary in size in terms of the number of fulltime program faculty whose professional work and scholarship </w:t>
      </w:r>
      <w:r w:rsidR="0052211C" w:rsidRPr="007C56DF">
        <w:rPr>
          <w:rFonts w:ascii="Times New Roman" w:hAnsi="Times New Roman" w:cs="Times New Roman"/>
        </w:rPr>
        <w:lastRenderedPageBreak/>
        <w:t>engage teacher education as a primary feature of their academic lives.  In large, public universities, teacher education faculty, both special and general education, can be sizable</w:t>
      </w:r>
      <w:r w:rsidR="00530262" w:rsidRPr="007C56DF">
        <w:rPr>
          <w:rFonts w:ascii="Times New Roman" w:hAnsi="Times New Roman" w:cs="Times New Roman"/>
        </w:rPr>
        <w:t xml:space="preserve"> with as many as 40 or 50 tenure line faculty.  The collective resources of such faculty give life to </w:t>
      </w:r>
    </w:p>
    <w:p w14:paraId="0064808C" w14:textId="5887F3F9" w:rsidR="0052211C" w:rsidRPr="007C56DF" w:rsidRDefault="00530262" w:rsidP="00AA6030">
      <w:pPr>
        <w:ind w:firstLine="0"/>
        <w:rPr>
          <w:rFonts w:ascii="Times New Roman" w:hAnsi="Times New Roman" w:cs="Times New Roman"/>
        </w:rPr>
      </w:pPr>
      <w:r w:rsidRPr="007C56DF">
        <w:rPr>
          <w:rFonts w:ascii="Times New Roman" w:hAnsi="Times New Roman" w:cs="Times New Roman"/>
        </w:rPr>
        <w:t xml:space="preserve">programs that are designed in house by the faculty, instructors, graduate students, and external partners.  This kind of program development effort is difficult to match in small schools and colleges where a single special education faculty member may represent the field.  Yet, the state’s needs, the location of different programs, the needs and interests of people who want teaching credentials and other state-specific contexts mean that programs have different capacities and resources. Building capacity in teacher education institutions may also mean building capacity </w:t>
      </w:r>
      <w:r w:rsidRPr="007C56DF">
        <w:rPr>
          <w:rFonts w:ascii="Times New Roman" w:hAnsi="Times New Roman" w:cs="Times New Roman"/>
          <w:i/>
        </w:rPr>
        <w:t>across</w:t>
      </w:r>
      <w:r w:rsidRPr="007C56DF">
        <w:rPr>
          <w:rFonts w:ascii="Times New Roman" w:hAnsi="Times New Roman" w:cs="Times New Roman"/>
        </w:rPr>
        <w:t xml:space="preserve"> teacher education programs.</w:t>
      </w:r>
    </w:p>
    <w:p w14:paraId="1EB33A01" w14:textId="42DB2307" w:rsidR="00F039B0" w:rsidRPr="007C56DF" w:rsidRDefault="009F601E" w:rsidP="007C56DF">
      <w:pPr>
        <w:rPr>
          <w:rFonts w:ascii="Times New Roman" w:hAnsi="Times New Roman" w:cs="Times New Roman"/>
        </w:rPr>
      </w:pPr>
      <w:r w:rsidRPr="007C56DF">
        <w:rPr>
          <w:rFonts w:ascii="Times New Roman" w:hAnsi="Times New Roman" w:cs="Times New Roman"/>
        </w:rPr>
        <w:t xml:space="preserve">Recent investments such as those by the Office of Special Education Programs have created a set of online learning modules that can be adopted by teacher education programs as part of the learning experiences that are offered students.  The IRIS project has worked with respected special education researchers and practitioners to design and build modules that are widely used.  These kinds of widely available resources help to ensure that the building blocks for foundational knowledge about special education and its practice are available.  For programs with few faculty, such resources help to stretch the capacity of the faculty to offer what is considered to meet the standards of practice and knowledge in the field.  States would do well to consider how they might reduce competition among teacher education institutions by rewarding collective improvements in the knowledge and skills of teachers, the ways in which teachers are recruited and funneled into high needs areas, particularly in rural and urban schools, and the development of effective partnerships to mentor new teachers through the first three years of their practice.  </w:t>
      </w:r>
      <w:r w:rsidR="00F039B0" w:rsidRPr="007C56DF">
        <w:rPr>
          <w:rFonts w:ascii="Times New Roman" w:hAnsi="Times New Roman" w:cs="Times New Roman"/>
        </w:rPr>
        <w:lastRenderedPageBreak/>
        <w:t>The IRIS project offers an example of how to mobilize existing knowledge in pursuit of collective aims.</w:t>
      </w:r>
      <w:r w:rsidR="007D42FB" w:rsidRPr="007C56DF">
        <w:rPr>
          <w:rFonts w:ascii="Times New Roman" w:hAnsi="Times New Roman" w:cs="Times New Roman"/>
          <w:noProof/>
        </w:rPr>
        <w:t xml:space="preserve"> </w:t>
      </w:r>
    </w:p>
    <w:p w14:paraId="38DE6162" w14:textId="5CC502FE" w:rsidR="002E2962" w:rsidRDefault="00641426" w:rsidP="007C56DF">
      <w:pPr>
        <w:rPr>
          <w:rFonts w:ascii="Times New Roman" w:hAnsi="Times New Roman" w:cs="Times New Roman"/>
        </w:rPr>
      </w:pPr>
      <w:r w:rsidRPr="007C56DF">
        <w:rPr>
          <w:rFonts w:ascii="Times New Roman" w:hAnsi="Times New Roman" w:cs="Times New Roman"/>
        </w:rPr>
        <w:t>In low enrollment areas, such as low incidence special education teacher education, state incentives for state wide and regional programs would enhance quality and increase the likelihood of distributing teachers to areas where they are most needed.  The current system operates as if content and pedagogical knowledge exists within institutions as opposed to across institutions.  Focusing on creating incentives</w:t>
      </w:r>
      <w:r w:rsidR="00803FC0" w:rsidRPr="007C56DF">
        <w:rPr>
          <w:rFonts w:ascii="Times New Roman" w:hAnsi="Times New Roman" w:cs="Times New Roman"/>
        </w:rPr>
        <w:t xml:space="preserve"> to change historically isolated teacher education </w:t>
      </w:r>
      <w:r w:rsidRPr="007C56DF">
        <w:rPr>
          <w:rFonts w:ascii="Times New Roman" w:hAnsi="Times New Roman" w:cs="Times New Roman"/>
        </w:rPr>
        <w:t>pr</w:t>
      </w:r>
      <w:r w:rsidR="00D44CD4" w:rsidRPr="007C56DF">
        <w:rPr>
          <w:rFonts w:ascii="Times New Roman" w:hAnsi="Times New Roman" w:cs="Times New Roman"/>
        </w:rPr>
        <w:t>ograms</w:t>
      </w:r>
      <w:r w:rsidRPr="007C56DF">
        <w:rPr>
          <w:rFonts w:ascii="Times New Roman" w:hAnsi="Times New Roman" w:cs="Times New Roman"/>
        </w:rPr>
        <w:t xml:space="preserve"> will also require influencing change in how universities support and encourage innovation among their faculties.</w:t>
      </w:r>
      <w:r w:rsidR="00D44CD4" w:rsidRPr="007C56DF">
        <w:rPr>
          <w:rFonts w:ascii="Times New Roman" w:hAnsi="Times New Roman" w:cs="Times New Roman"/>
        </w:rPr>
        <w:t xml:space="preserve">  Further, deeper work on what </w:t>
      </w:r>
      <w:r w:rsidR="00D44CD4" w:rsidRPr="007C56DF">
        <w:rPr>
          <w:rFonts w:ascii="Times New Roman" w:hAnsi="Times New Roman" w:cs="Times New Roman"/>
          <w:i/>
        </w:rPr>
        <w:t>All</w:t>
      </w:r>
      <w:r w:rsidR="00D44CD4" w:rsidRPr="007C56DF">
        <w:rPr>
          <w:rFonts w:ascii="Times New Roman" w:hAnsi="Times New Roman" w:cs="Times New Roman"/>
        </w:rPr>
        <w:t xml:space="preserve"> teachers need to know and what is specific to teachers who specialize in specific areas, such as special education, needs continued scholarship and improved licensure frameworks</w:t>
      </w:r>
      <w:r w:rsidR="00816DDC" w:rsidRPr="007C56DF">
        <w:rPr>
          <w:rFonts w:ascii="Times New Roman" w:hAnsi="Times New Roman" w:cs="Times New Roman"/>
        </w:rPr>
        <w:t xml:space="preserve"> (Pugach, </w:t>
      </w:r>
      <w:r w:rsidR="00EE06E6" w:rsidRPr="007C56DF">
        <w:rPr>
          <w:rFonts w:ascii="Times New Roman" w:hAnsi="Times New Roman" w:cs="Times New Roman"/>
        </w:rPr>
        <w:t>Blanton, &amp; Boveda, 2014</w:t>
      </w:r>
      <w:r w:rsidR="00816DDC" w:rsidRPr="007C56DF">
        <w:rPr>
          <w:rFonts w:ascii="Times New Roman" w:hAnsi="Times New Roman" w:cs="Times New Roman"/>
        </w:rPr>
        <w:t>)</w:t>
      </w:r>
      <w:r w:rsidR="00D44CD4" w:rsidRPr="007C56DF">
        <w:rPr>
          <w:rFonts w:ascii="Times New Roman" w:hAnsi="Times New Roman" w:cs="Times New Roman"/>
        </w:rPr>
        <w:t>.</w:t>
      </w:r>
      <w:r w:rsidR="001953FF" w:rsidRPr="007C56DF">
        <w:rPr>
          <w:rFonts w:ascii="Times New Roman" w:hAnsi="Times New Roman" w:cs="Times New Roman"/>
        </w:rPr>
        <w:t xml:space="preserve">  Relationships between SEAs and teacher education institutions are fraught with a number of professional and political capital ten</w:t>
      </w:r>
      <w:r w:rsidR="00B63207" w:rsidRPr="007C56DF">
        <w:rPr>
          <w:rFonts w:ascii="Times New Roman" w:hAnsi="Times New Roman" w:cs="Times New Roman"/>
        </w:rPr>
        <w:t>sions.  Supports to address these tensions</w:t>
      </w:r>
      <w:r w:rsidR="00816DDC" w:rsidRPr="007C56DF">
        <w:rPr>
          <w:rFonts w:ascii="Times New Roman" w:hAnsi="Times New Roman" w:cs="Times New Roman"/>
        </w:rPr>
        <w:t xml:space="preserve"> include aligning</w:t>
      </w:r>
      <w:r w:rsidR="00B63207" w:rsidRPr="007C56DF">
        <w:rPr>
          <w:rFonts w:ascii="Times New Roman" w:hAnsi="Times New Roman" w:cs="Times New Roman"/>
        </w:rPr>
        <w:t xml:space="preserve"> </w:t>
      </w:r>
      <w:r w:rsidR="00816DDC" w:rsidRPr="007C56DF">
        <w:rPr>
          <w:rFonts w:ascii="Times New Roman" w:hAnsi="Times New Roman" w:cs="Times New Roman"/>
        </w:rPr>
        <w:t>research-based practices with school reports cards, the common core, and additional, state-specific initiatives. SEA support must address the human side of change and improvement for all the partners to allow for the coaching and support work embedded in the implementation of change.</w:t>
      </w:r>
    </w:p>
    <w:p w14:paraId="10333FB7" w14:textId="09BF950C" w:rsidR="00702991" w:rsidRPr="007C56DF" w:rsidRDefault="00702991" w:rsidP="007C56DF">
      <w:pPr>
        <w:pStyle w:val="Heading2"/>
        <w:rPr>
          <w:rFonts w:ascii="Times New Roman" w:hAnsi="Times New Roman" w:cs="Times New Roman"/>
        </w:rPr>
      </w:pPr>
      <w:r w:rsidRPr="007C56DF">
        <w:rPr>
          <w:rFonts w:ascii="Times New Roman" w:hAnsi="Times New Roman" w:cs="Times New Roman"/>
        </w:rPr>
        <w:t>Build Capacity at the LEA L</w:t>
      </w:r>
      <w:r w:rsidR="002E2962" w:rsidRPr="007C56DF">
        <w:rPr>
          <w:rFonts w:ascii="Times New Roman" w:hAnsi="Times New Roman" w:cs="Times New Roman"/>
        </w:rPr>
        <w:t>evel</w:t>
      </w:r>
    </w:p>
    <w:p w14:paraId="7AED594C" w14:textId="77777777" w:rsidR="00A7231E" w:rsidRPr="007C56DF" w:rsidRDefault="00625901" w:rsidP="007C56DF">
      <w:pPr>
        <w:rPr>
          <w:rFonts w:ascii="Times New Roman" w:hAnsi="Times New Roman" w:cs="Times New Roman"/>
        </w:rPr>
      </w:pPr>
      <w:r w:rsidRPr="007C56DF">
        <w:rPr>
          <w:rFonts w:ascii="Times New Roman" w:hAnsi="Times New Roman" w:cs="Times New Roman"/>
        </w:rPr>
        <w:t>T</w:t>
      </w:r>
      <w:r w:rsidR="00652D59" w:rsidRPr="007C56DF">
        <w:rPr>
          <w:rFonts w:ascii="Times New Roman" w:hAnsi="Times New Roman" w:cs="Times New Roman"/>
        </w:rPr>
        <w:t>eachers work in communities of practice</w:t>
      </w:r>
      <w:r w:rsidR="00816DDC" w:rsidRPr="007C56DF">
        <w:rPr>
          <w:rFonts w:ascii="Times New Roman" w:hAnsi="Times New Roman" w:cs="Times New Roman"/>
        </w:rPr>
        <w:t xml:space="preserve"> (Aladjem, LeFloch, Zhang, Kurki, Boyle, Taylor, Herrmann, Uekawa, Thomsen, </w:t>
      </w:r>
      <w:r w:rsidR="00A7231E" w:rsidRPr="007C56DF">
        <w:rPr>
          <w:rFonts w:ascii="Times New Roman" w:hAnsi="Times New Roman" w:cs="Times New Roman"/>
        </w:rPr>
        <w:t xml:space="preserve">&amp; </w:t>
      </w:r>
      <w:r w:rsidR="00816DDC" w:rsidRPr="007C56DF">
        <w:rPr>
          <w:rFonts w:ascii="Times New Roman" w:hAnsi="Times New Roman" w:cs="Times New Roman"/>
        </w:rPr>
        <w:t>Fashola, 2006)</w:t>
      </w:r>
      <w:r w:rsidR="00652D59" w:rsidRPr="007C56DF">
        <w:rPr>
          <w:rFonts w:ascii="Times New Roman" w:hAnsi="Times New Roman" w:cs="Times New Roman"/>
        </w:rPr>
        <w:t>.  They are deeply affected by the norms</w:t>
      </w:r>
      <w:r w:rsidR="00037D74" w:rsidRPr="007C56DF">
        <w:rPr>
          <w:rFonts w:ascii="Times New Roman" w:hAnsi="Times New Roman" w:cs="Times New Roman"/>
        </w:rPr>
        <w:t>, work conditions,</w:t>
      </w:r>
      <w:r w:rsidR="00652D59" w:rsidRPr="007C56DF">
        <w:rPr>
          <w:rFonts w:ascii="Times New Roman" w:hAnsi="Times New Roman" w:cs="Times New Roman"/>
        </w:rPr>
        <w:t xml:space="preserve"> and standards of practice that they encounter in the schools where they work. </w:t>
      </w:r>
      <w:r w:rsidR="00816DDC" w:rsidRPr="007C56DF">
        <w:rPr>
          <w:rFonts w:ascii="Times New Roman" w:hAnsi="Times New Roman" w:cs="Times New Roman"/>
        </w:rPr>
        <w:t xml:space="preserve">  </w:t>
      </w:r>
      <w:r w:rsidR="00037D74" w:rsidRPr="007C56DF">
        <w:rPr>
          <w:rFonts w:ascii="Times New Roman" w:hAnsi="Times New Roman" w:cs="Times New Roman"/>
        </w:rPr>
        <w:t xml:space="preserve">Together, these factors are closely linked to teacher efficacy and the likelihood that teachers remain in practice (Cochran-Smith, McQuillan, Mitchell, Terrell, Barnatt, D’Souza, Jon, Shakman, Lam, &amp; Gleeson, 2012).  </w:t>
      </w:r>
      <w:r w:rsidR="00652D59" w:rsidRPr="007C56DF">
        <w:rPr>
          <w:rFonts w:ascii="Times New Roman" w:hAnsi="Times New Roman" w:cs="Times New Roman"/>
        </w:rPr>
        <w:t xml:space="preserve"> </w:t>
      </w:r>
      <w:r w:rsidR="00037D74" w:rsidRPr="007C56DF">
        <w:rPr>
          <w:rFonts w:ascii="Times New Roman" w:hAnsi="Times New Roman" w:cs="Times New Roman"/>
        </w:rPr>
        <w:t xml:space="preserve">Drawing on work from a number of scholars, teaching and </w:t>
      </w:r>
      <w:r w:rsidR="00037D74" w:rsidRPr="007C56DF">
        <w:rPr>
          <w:rFonts w:ascii="Times New Roman" w:hAnsi="Times New Roman" w:cs="Times New Roman"/>
        </w:rPr>
        <w:lastRenderedPageBreak/>
        <w:t xml:space="preserve">professional teaching identities comprise an “in progress” activity in which the conditions of schooling, school cultures, and individual agency and identities interact (Cochran-Smith et al, 2012; Kozleski, Artiles, &amp; Skrtic, 2014).  </w:t>
      </w:r>
      <w:r w:rsidR="00652D59" w:rsidRPr="007C56DF">
        <w:rPr>
          <w:rFonts w:ascii="Times New Roman" w:hAnsi="Times New Roman" w:cs="Times New Roman"/>
        </w:rPr>
        <w:t xml:space="preserve">Preparing excellent teachers will not substantially change the teaching force unless the early </w:t>
      </w:r>
      <w:r w:rsidR="00037D74" w:rsidRPr="007C56DF">
        <w:rPr>
          <w:rFonts w:ascii="Times New Roman" w:hAnsi="Times New Roman" w:cs="Times New Roman"/>
        </w:rPr>
        <w:t xml:space="preserve">teaching </w:t>
      </w:r>
      <w:r w:rsidR="00652D59" w:rsidRPr="007C56DF">
        <w:rPr>
          <w:rFonts w:ascii="Times New Roman" w:hAnsi="Times New Roman" w:cs="Times New Roman"/>
        </w:rPr>
        <w:t xml:space="preserve">years are full of daily practice that solidifies knowledge of evidence based practice, holds teachers accountable for what they have learned, and provides the tools and contexts for producing excellence in the </w:t>
      </w:r>
      <w:r w:rsidR="00037D74" w:rsidRPr="007C56DF">
        <w:rPr>
          <w:rFonts w:ascii="Times New Roman" w:hAnsi="Times New Roman" w:cs="Times New Roman"/>
        </w:rPr>
        <w:t xml:space="preserve">emerging professional self and her </w:t>
      </w:r>
      <w:r w:rsidR="00652D59" w:rsidRPr="007C56DF">
        <w:rPr>
          <w:rFonts w:ascii="Times New Roman" w:hAnsi="Times New Roman" w:cs="Times New Roman"/>
        </w:rPr>
        <w:t xml:space="preserve">design and implementation of content knowledge through pedagogy and carefully crafted and assessed instruction.  </w:t>
      </w:r>
    </w:p>
    <w:p w14:paraId="293D09B7" w14:textId="77777777" w:rsidR="00B2737C" w:rsidRPr="007C56DF" w:rsidRDefault="002E6B0A" w:rsidP="007C56DF">
      <w:pPr>
        <w:rPr>
          <w:rFonts w:ascii="Times New Roman" w:hAnsi="Times New Roman" w:cs="Times New Roman"/>
        </w:rPr>
      </w:pPr>
      <w:r w:rsidRPr="007C56DF">
        <w:rPr>
          <w:rFonts w:ascii="Times New Roman" w:hAnsi="Times New Roman" w:cs="Times New Roman"/>
        </w:rPr>
        <w:t>The work of creating professional collaborations between school districts and teacher education institutions needs to be supported and encouraged through SEA support</w:t>
      </w:r>
      <w:r w:rsidR="009C7687" w:rsidRPr="007C56DF">
        <w:rPr>
          <w:rFonts w:ascii="Times New Roman" w:hAnsi="Times New Roman" w:cs="Times New Roman"/>
        </w:rPr>
        <w:t xml:space="preserve"> for the time, effort, and resources that it takes to develop and maintain such partnerships.  The sites where teachers learn to teach are critical to the development of grit, self-determination, and dispositions that will enable them to emerge as successful teachers who stay in the profession, honing their skills and capacities to serve a full, diverse range of students.  </w:t>
      </w:r>
    </w:p>
    <w:p w14:paraId="47FD04CF" w14:textId="3AC22F80" w:rsidR="00906EE7" w:rsidRDefault="00816DDC" w:rsidP="00517D89">
      <w:pPr>
        <w:rPr>
          <w:rFonts w:ascii="Times New Roman" w:hAnsi="Times New Roman" w:cs="Times New Roman"/>
        </w:rPr>
      </w:pPr>
      <w:r w:rsidRPr="007C56DF">
        <w:rPr>
          <w:rFonts w:ascii="Times New Roman" w:hAnsi="Times New Roman" w:cs="Times New Roman"/>
        </w:rPr>
        <w:t xml:space="preserve">Special educators along with other teachers are part of the whole teaching force.  They are anchored </w:t>
      </w:r>
      <w:r w:rsidR="002A0DD4" w:rsidRPr="007C56DF">
        <w:rPr>
          <w:rFonts w:ascii="Times New Roman" w:hAnsi="Times New Roman" w:cs="Times New Roman"/>
        </w:rPr>
        <w:t xml:space="preserve">by </w:t>
      </w:r>
      <w:r w:rsidRPr="007C56DF">
        <w:rPr>
          <w:rFonts w:ascii="Times New Roman" w:hAnsi="Times New Roman" w:cs="Times New Roman"/>
        </w:rPr>
        <w:t>much of the same foundat</w:t>
      </w:r>
      <w:r w:rsidR="00FC62FF" w:rsidRPr="007C56DF">
        <w:rPr>
          <w:rFonts w:ascii="Times New Roman" w:hAnsi="Times New Roman" w:cs="Times New Roman"/>
        </w:rPr>
        <w:t xml:space="preserve">ional understanding of schools including </w:t>
      </w:r>
      <w:r w:rsidRPr="007C56DF">
        <w:rPr>
          <w:rFonts w:ascii="Times New Roman" w:hAnsi="Times New Roman" w:cs="Times New Roman"/>
        </w:rPr>
        <w:t>the design</w:t>
      </w:r>
      <w:r w:rsidR="00FC62FF" w:rsidRPr="007C56DF">
        <w:rPr>
          <w:rFonts w:ascii="Times New Roman" w:hAnsi="Times New Roman" w:cs="Times New Roman"/>
        </w:rPr>
        <w:t xml:space="preserve">, </w:t>
      </w:r>
      <w:r w:rsidRPr="007C56DF">
        <w:rPr>
          <w:rFonts w:ascii="Times New Roman" w:hAnsi="Times New Roman" w:cs="Times New Roman"/>
        </w:rPr>
        <w:t>delivery</w:t>
      </w:r>
      <w:r w:rsidR="00FC62FF" w:rsidRPr="007C56DF">
        <w:rPr>
          <w:rFonts w:ascii="Times New Roman" w:hAnsi="Times New Roman" w:cs="Times New Roman"/>
        </w:rPr>
        <w:t>, and assessment</w:t>
      </w:r>
      <w:r w:rsidRPr="007C56DF">
        <w:rPr>
          <w:rFonts w:ascii="Times New Roman" w:hAnsi="Times New Roman" w:cs="Times New Roman"/>
        </w:rPr>
        <w:t xml:space="preserve"> of ef</w:t>
      </w:r>
      <w:r w:rsidR="00FC62FF" w:rsidRPr="007C56DF">
        <w:rPr>
          <w:rFonts w:ascii="Times New Roman" w:hAnsi="Times New Roman" w:cs="Times New Roman"/>
        </w:rPr>
        <w:t>fective learning opportunities in core content areas.  They also have specialized knowledge that expands their ability to serve s</w:t>
      </w:r>
      <w:r w:rsidR="004F710D" w:rsidRPr="007C56DF">
        <w:rPr>
          <w:rFonts w:ascii="Times New Roman" w:hAnsi="Times New Roman" w:cs="Times New Roman"/>
        </w:rPr>
        <w:t>tudents through individualized</w:t>
      </w:r>
      <w:r w:rsidR="00FC62FF" w:rsidRPr="007C56DF">
        <w:rPr>
          <w:rFonts w:ascii="Times New Roman" w:hAnsi="Times New Roman" w:cs="Times New Roman"/>
        </w:rPr>
        <w:t>, carefully calibrated instructional approaches</w:t>
      </w:r>
      <w:r w:rsidR="00926621" w:rsidRPr="007C56DF">
        <w:rPr>
          <w:rFonts w:ascii="Times New Roman" w:hAnsi="Times New Roman" w:cs="Times New Roman"/>
        </w:rPr>
        <w:t xml:space="preserve"> to reading and numeracy</w:t>
      </w:r>
      <w:r w:rsidR="00FC62FF" w:rsidRPr="007C56DF">
        <w:rPr>
          <w:rFonts w:ascii="Times New Roman" w:hAnsi="Times New Roman" w:cs="Times New Roman"/>
        </w:rPr>
        <w:t xml:space="preserve"> and ongoing assessment that guides </w:t>
      </w:r>
      <w:r w:rsidR="005C2403" w:rsidRPr="007C56DF">
        <w:rPr>
          <w:rFonts w:ascii="Times New Roman" w:hAnsi="Times New Roman" w:cs="Times New Roman"/>
        </w:rPr>
        <w:t xml:space="preserve">reoccurring </w:t>
      </w:r>
      <w:r w:rsidR="00FC62FF" w:rsidRPr="007C56DF">
        <w:rPr>
          <w:rFonts w:ascii="Times New Roman" w:hAnsi="Times New Roman" w:cs="Times New Roman"/>
        </w:rPr>
        <w:t xml:space="preserve">adjustments to learning plans (Brownell, </w:t>
      </w:r>
      <w:r w:rsidR="004F710D" w:rsidRPr="007C56DF">
        <w:rPr>
          <w:rFonts w:ascii="Times New Roman" w:hAnsi="Times New Roman" w:cs="Times New Roman"/>
        </w:rPr>
        <w:t xml:space="preserve">Sindelar, Kiely, &amp; Danielson, 2010; </w:t>
      </w:r>
      <w:r w:rsidR="00FC62FF" w:rsidRPr="007C56DF">
        <w:rPr>
          <w:rFonts w:ascii="Times New Roman" w:hAnsi="Times New Roman" w:cs="Times New Roman"/>
        </w:rPr>
        <w:t>Pugach</w:t>
      </w:r>
      <w:r w:rsidR="00F75DE5" w:rsidRPr="007C56DF">
        <w:rPr>
          <w:rFonts w:ascii="Times New Roman" w:hAnsi="Times New Roman" w:cs="Times New Roman"/>
        </w:rPr>
        <w:t>, Blanton, &amp; Boveda, 2014</w:t>
      </w:r>
      <w:r w:rsidR="00FC62FF" w:rsidRPr="007C56DF">
        <w:rPr>
          <w:rFonts w:ascii="Times New Roman" w:hAnsi="Times New Roman" w:cs="Times New Roman"/>
        </w:rPr>
        <w:t xml:space="preserve">).  LEAs need support to create shared professional learning communities that encompass special educators acknowledging the overlaps and </w:t>
      </w:r>
      <w:r w:rsidR="00FC62FF" w:rsidRPr="007C56DF">
        <w:rPr>
          <w:rFonts w:ascii="Times New Roman" w:hAnsi="Times New Roman" w:cs="Times New Roman"/>
        </w:rPr>
        <w:lastRenderedPageBreak/>
        <w:t>differences in roles, professional identities, and the cultural pra</w:t>
      </w:r>
      <w:r w:rsidR="00926621" w:rsidRPr="007C56DF">
        <w:rPr>
          <w:rFonts w:ascii="Times New Roman" w:hAnsi="Times New Roman" w:cs="Times New Roman"/>
        </w:rPr>
        <w:t>ctices of their everyday work at elementary and secondary levels.</w:t>
      </w:r>
      <w:bookmarkStart w:id="0" w:name="_GoBack"/>
      <w:bookmarkEnd w:id="0"/>
    </w:p>
    <w:p w14:paraId="01D88382" w14:textId="76464AE2" w:rsidR="00702991" w:rsidRPr="007C56DF" w:rsidRDefault="00F9152F" w:rsidP="007C56DF">
      <w:pPr>
        <w:pStyle w:val="Heading2"/>
        <w:rPr>
          <w:rFonts w:ascii="Times New Roman" w:hAnsi="Times New Roman" w:cs="Times New Roman"/>
        </w:rPr>
      </w:pPr>
      <w:r w:rsidRPr="007C56DF">
        <w:rPr>
          <w:rFonts w:ascii="Times New Roman" w:hAnsi="Times New Roman" w:cs="Times New Roman"/>
        </w:rPr>
        <w:t xml:space="preserve">Develop and </w:t>
      </w:r>
      <w:r w:rsidR="00702991" w:rsidRPr="007C56DF">
        <w:rPr>
          <w:rFonts w:ascii="Times New Roman" w:hAnsi="Times New Roman" w:cs="Times New Roman"/>
        </w:rPr>
        <w:t xml:space="preserve">Use </w:t>
      </w:r>
      <w:r w:rsidR="006335C7" w:rsidRPr="007C56DF">
        <w:rPr>
          <w:rFonts w:ascii="Times New Roman" w:hAnsi="Times New Roman" w:cs="Times New Roman"/>
        </w:rPr>
        <w:t>T</w:t>
      </w:r>
      <w:r w:rsidR="00702991" w:rsidRPr="007C56DF">
        <w:rPr>
          <w:rFonts w:ascii="Times New Roman" w:hAnsi="Times New Roman" w:cs="Times New Roman"/>
        </w:rPr>
        <w:t xml:space="preserve">ools for </w:t>
      </w:r>
      <w:r w:rsidR="006335C7" w:rsidRPr="007C56DF">
        <w:rPr>
          <w:rFonts w:ascii="Times New Roman" w:hAnsi="Times New Roman" w:cs="Times New Roman"/>
        </w:rPr>
        <w:t>T</w:t>
      </w:r>
      <w:r w:rsidR="00063728" w:rsidRPr="007C56DF">
        <w:rPr>
          <w:rFonts w:ascii="Times New Roman" w:hAnsi="Times New Roman" w:cs="Times New Roman"/>
        </w:rPr>
        <w:t>racking</w:t>
      </w:r>
      <w:r w:rsidR="00702991" w:rsidRPr="007C56DF">
        <w:rPr>
          <w:rFonts w:ascii="Times New Roman" w:hAnsi="Times New Roman" w:cs="Times New Roman"/>
        </w:rPr>
        <w:t xml:space="preserve"> the Fidelity of I</w:t>
      </w:r>
      <w:r w:rsidRPr="007C56DF">
        <w:rPr>
          <w:rFonts w:ascii="Times New Roman" w:hAnsi="Times New Roman" w:cs="Times New Roman"/>
        </w:rPr>
        <w:t>mplementation</w:t>
      </w:r>
      <w:r w:rsidR="00702991" w:rsidRPr="007C56DF">
        <w:rPr>
          <w:rFonts w:ascii="Times New Roman" w:hAnsi="Times New Roman" w:cs="Times New Roman"/>
        </w:rPr>
        <w:t xml:space="preserve"> at each C</w:t>
      </w:r>
      <w:r w:rsidR="0039218F" w:rsidRPr="007C56DF">
        <w:rPr>
          <w:rFonts w:ascii="Times New Roman" w:hAnsi="Times New Roman" w:cs="Times New Roman"/>
        </w:rPr>
        <w:t>apacity level</w:t>
      </w:r>
      <w:r w:rsidRPr="007C56DF">
        <w:rPr>
          <w:rFonts w:ascii="Times New Roman" w:hAnsi="Times New Roman" w:cs="Times New Roman"/>
        </w:rPr>
        <w:t xml:space="preserve"> </w:t>
      </w:r>
    </w:p>
    <w:p w14:paraId="7A161371" w14:textId="22977E35" w:rsidR="00E05FBC" w:rsidRPr="007C56DF" w:rsidRDefault="00F9152F" w:rsidP="007C56DF">
      <w:pPr>
        <w:rPr>
          <w:rFonts w:ascii="Times New Roman" w:hAnsi="Times New Roman" w:cs="Times New Roman"/>
        </w:rPr>
      </w:pPr>
      <w:r w:rsidRPr="007C56DF">
        <w:rPr>
          <w:rFonts w:ascii="Times New Roman" w:hAnsi="Times New Roman" w:cs="Times New Roman"/>
        </w:rPr>
        <w:t xml:space="preserve">Without tools that track progress towards specific kinds of implementation, such as data-driven instructional decision making, practitioners and school leaders are subject to the drift that occurs with multiple demands and the familiarity of previous ways of doing things.  </w:t>
      </w:r>
      <w:r w:rsidR="00FC62FF" w:rsidRPr="007C56DF">
        <w:rPr>
          <w:rFonts w:ascii="Times New Roman" w:hAnsi="Times New Roman" w:cs="Times New Roman"/>
        </w:rPr>
        <w:t>To</w:t>
      </w:r>
      <w:r w:rsidRPr="007C56DF">
        <w:rPr>
          <w:rFonts w:ascii="Times New Roman" w:hAnsi="Times New Roman" w:cs="Times New Roman"/>
        </w:rPr>
        <w:t xml:space="preserve"> streamline progress towards reform and transformation in teacher preparation</w:t>
      </w:r>
      <w:r w:rsidR="00FC62FF" w:rsidRPr="007C56DF">
        <w:rPr>
          <w:rFonts w:ascii="Times New Roman" w:hAnsi="Times New Roman" w:cs="Times New Roman"/>
        </w:rPr>
        <w:t xml:space="preserve">, SEAs, teacher education institutions, and LEAs need to use implementation fidelity tools to gauge their progress and identify areas in which support is needed.  </w:t>
      </w:r>
      <w:r w:rsidRPr="007C56DF">
        <w:rPr>
          <w:rFonts w:ascii="Times New Roman" w:hAnsi="Times New Roman" w:cs="Times New Roman"/>
        </w:rPr>
        <w:t xml:space="preserve">The tools will </w:t>
      </w:r>
      <w:r w:rsidR="00FC62FF" w:rsidRPr="007C56DF">
        <w:rPr>
          <w:rFonts w:ascii="Times New Roman" w:hAnsi="Times New Roman" w:cs="Times New Roman"/>
        </w:rPr>
        <w:t>strengthen the</w:t>
      </w:r>
      <w:r w:rsidRPr="007C56DF">
        <w:rPr>
          <w:rFonts w:ascii="Times New Roman" w:hAnsi="Times New Roman" w:cs="Times New Roman"/>
        </w:rPr>
        <w:t xml:space="preserve"> partnership between preparation programs and the professional learning schools where clinical practice occurs.   </w:t>
      </w:r>
      <w:r w:rsidR="00E05FBC" w:rsidRPr="007C56DF">
        <w:rPr>
          <w:rFonts w:ascii="Times New Roman" w:hAnsi="Times New Roman" w:cs="Times New Roman"/>
        </w:rPr>
        <w:t xml:space="preserve">Implementation science tells us that this work must be done with the use of tools that assess the status quo, monitor progress towards coordinated and aligned systems, measure impact and outcomes.  Putnam </w:t>
      </w:r>
      <w:r w:rsidR="00901FA3" w:rsidRPr="007C56DF">
        <w:rPr>
          <w:rFonts w:ascii="Times New Roman" w:hAnsi="Times New Roman" w:cs="Times New Roman"/>
        </w:rPr>
        <w:t>and</w:t>
      </w:r>
      <w:r w:rsidR="00E05FBC" w:rsidRPr="007C56DF">
        <w:rPr>
          <w:rFonts w:ascii="Times New Roman" w:hAnsi="Times New Roman" w:cs="Times New Roman"/>
        </w:rPr>
        <w:t xml:space="preserve"> Borko (2001) discussed the notion of tools as transactional mechanisms that shift the cognitive load and analytic perspectives of users, influencing cognitive schemas as well as cognitive, discursive, and everyday behavior.  Tools are as generic to an activity arena as email, the internet, or word processing and as task specific as the Danielson (2013) </w:t>
      </w:r>
      <w:r w:rsidR="00E05FBC" w:rsidRPr="007C56DF">
        <w:rPr>
          <w:rFonts w:ascii="Times New Roman" w:hAnsi="Times New Roman" w:cs="Times New Roman"/>
          <w:i/>
        </w:rPr>
        <w:t>Framework for Teaching Evaluation</w:t>
      </w:r>
      <w:r w:rsidR="00E05FBC" w:rsidRPr="007C56DF">
        <w:rPr>
          <w:rFonts w:ascii="Times New Roman" w:hAnsi="Times New Roman" w:cs="Times New Roman"/>
        </w:rPr>
        <w:t xml:space="preserve">, a tool for observing teacher performance in the classroom.  The most effective tools for systemic change provide evidence for feedback loops, based on data from all elements of the system, which help the partners to refine, adapt, and refocus their work as needed.  </w:t>
      </w:r>
    </w:p>
    <w:p w14:paraId="3E542BD1" w14:textId="3390FD11" w:rsidR="00702991" w:rsidRPr="007C56DF" w:rsidRDefault="00702991" w:rsidP="007C56DF">
      <w:pPr>
        <w:pStyle w:val="Heading2"/>
        <w:rPr>
          <w:rFonts w:ascii="Times New Roman" w:hAnsi="Times New Roman" w:cs="Times New Roman"/>
        </w:rPr>
      </w:pPr>
      <w:r w:rsidRPr="007C56DF">
        <w:rPr>
          <w:rFonts w:ascii="Times New Roman" w:hAnsi="Times New Roman" w:cs="Times New Roman"/>
        </w:rPr>
        <w:t>Fund T</w:t>
      </w:r>
      <w:r w:rsidR="0039218F" w:rsidRPr="007C56DF">
        <w:rPr>
          <w:rFonts w:ascii="Times New Roman" w:hAnsi="Times New Roman" w:cs="Times New Roman"/>
        </w:rPr>
        <w:t>r</w:t>
      </w:r>
      <w:r w:rsidRPr="007C56DF">
        <w:rPr>
          <w:rFonts w:ascii="Times New Roman" w:hAnsi="Times New Roman" w:cs="Times New Roman"/>
        </w:rPr>
        <w:t>ansformation Z</w:t>
      </w:r>
      <w:r w:rsidR="0039218F" w:rsidRPr="007C56DF">
        <w:rPr>
          <w:rFonts w:ascii="Times New Roman" w:hAnsi="Times New Roman" w:cs="Times New Roman"/>
        </w:rPr>
        <w:t>ones</w:t>
      </w:r>
    </w:p>
    <w:p w14:paraId="7C40F24E" w14:textId="3E21CD9D" w:rsidR="00953E77" w:rsidRPr="007C56DF" w:rsidRDefault="0039218F" w:rsidP="007C56DF">
      <w:pPr>
        <w:rPr>
          <w:rFonts w:ascii="Times New Roman" w:hAnsi="Times New Roman" w:cs="Times New Roman"/>
        </w:rPr>
      </w:pPr>
      <w:r w:rsidRPr="007C56DF">
        <w:rPr>
          <w:rFonts w:ascii="Times New Roman" w:hAnsi="Times New Roman" w:cs="Times New Roman"/>
        </w:rPr>
        <w:t xml:space="preserve">Fixsen, Blase, and Van Dyke (2012) propose the development of transformation zones in which small groups, across organizational boundaries, but in geographically proximal locations, work together to design and implement system changes.  With tight design, frequent progress </w:t>
      </w:r>
      <w:r w:rsidRPr="007C56DF">
        <w:rPr>
          <w:rFonts w:ascii="Times New Roman" w:hAnsi="Times New Roman" w:cs="Times New Roman"/>
        </w:rPr>
        <w:lastRenderedPageBreak/>
        <w:t>monitoring, across-site fidelity and accountability measures, change strategies can be developed, refined, researched, and scaled.</w:t>
      </w:r>
      <w:r w:rsidR="00556167" w:rsidRPr="007C56DF">
        <w:rPr>
          <w:rFonts w:ascii="Times New Roman" w:hAnsi="Times New Roman" w:cs="Times New Roman"/>
        </w:rPr>
        <w:t xml:space="preserve">  This work, in federally funded projects, like CEEDAR means that a few states can become involved in building closely coordinated systems of teacher education that involve SEA systems leadership, teacher education research and practice from institutions who produce new teachers for the profession, and the LEAs who graduate future teachers, offer practice sites for their supervised development, and employ licensed professionals.  </w:t>
      </w:r>
    </w:p>
    <w:p w14:paraId="22905CC7" w14:textId="1743FD03" w:rsidR="00645D61" w:rsidRPr="007C56DF" w:rsidRDefault="00645D61" w:rsidP="007C56DF">
      <w:pPr>
        <w:pStyle w:val="Heading2"/>
        <w:rPr>
          <w:rFonts w:ascii="Times New Roman" w:hAnsi="Times New Roman" w:cs="Times New Roman"/>
        </w:rPr>
      </w:pPr>
      <w:r w:rsidRPr="007C56DF">
        <w:rPr>
          <w:rFonts w:ascii="Times New Roman" w:hAnsi="Times New Roman" w:cs="Times New Roman"/>
        </w:rPr>
        <w:t>Summary</w:t>
      </w:r>
    </w:p>
    <w:p w14:paraId="57D9FB63" w14:textId="12BC664C" w:rsidR="00274455" w:rsidRPr="007C56DF" w:rsidRDefault="00274455" w:rsidP="007C56DF">
      <w:pPr>
        <w:rPr>
          <w:rFonts w:ascii="Times New Roman" w:hAnsi="Times New Roman" w:cs="Times New Roman"/>
        </w:rPr>
      </w:pPr>
      <w:r w:rsidRPr="007C56DF">
        <w:rPr>
          <w:rFonts w:ascii="Times New Roman" w:hAnsi="Times New Roman" w:cs="Times New Roman"/>
        </w:rPr>
        <w:t xml:space="preserve">Weber and </w:t>
      </w:r>
      <w:r w:rsidR="00063728" w:rsidRPr="007C56DF">
        <w:rPr>
          <w:rFonts w:ascii="Times New Roman" w:hAnsi="Times New Roman" w:cs="Times New Roman"/>
        </w:rPr>
        <w:t xml:space="preserve">Rohracher (2014) remind us that multi-level systems of transformation in which planned and coordinated change at multiple levels of any system are necessary in order to shift practice, policy, and investments in research and development.  Effective teacher education systems rely on the coordination of interventions at the local education agency level, the teacher education program level, and the state level gauged strategically to build the capacity of each part of the system to improve the overall health and reflexivity of the system.  Arguments for a program of teacher education that invests deeply in the skills needed for teaching, bolstered by </w:t>
      </w:r>
      <w:r w:rsidR="007343BA" w:rsidRPr="007C56DF">
        <w:rPr>
          <w:rFonts w:ascii="Times New Roman" w:hAnsi="Times New Roman" w:cs="Times New Roman"/>
        </w:rPr>
        <w:t xml:space="preserve">robust environments in which teacher candidates can learn to teach content to a diverse range of learners is critical for improving the outcomes of a professional teacher education agenda.  The work of preparing teachers to address the needs of learners with a wide range of abilities means realigning the preparation of general and special educators so that student outcomes for all populations are improved.  </w:t>
      </w:r>
    </w:p>
    <w:p w14:paraId="6A36FEA9" w14:textId="5E32732B" w:rsidR="001A4B81" w:rsidRPr="007C56DF" w:rsidRDefault="001A4B81" w:rsidP="007C56DF">
      <w:pPr>
        <w:pStyle w:val="Heading1"/>
        <w:spacing w:line="480" w:lineRule="auto"/>
        <w:rPr>
          <w:rFonts w:ascii="Times New Roman" w:hAnsi="Times New Roman" w:cs="Times New Roman"/>
        </w:rPr>
      </w:pPr>
      <w:r w:rsidRPr="007C56DF">
        <w:rPr>
          <w:rFonts w:ascii="Times New Roman" w:hAnsi="Times New Roman" w:cs="Times New Roman"/>
        </w:rPr>
        <w:t xml:space="preserve">What does it </w:t>
      </w:r>
      <w:r w:rsidR="00E54086" w:rsidRPr="007C56DF">
        <w:rPr>
          <w:rFonts w:ascii="Times New Roman" w:hAnsi="Times New Roman" w:cs="Times New Roman"/>
        </w:rPr>
        <w:t>mean</w:t>
      </w:r>
      <w:r w:rsidRPr="007C56DF">
        <w:rPr>
          <w:rFonts w:ascii="Times New Roman" w:hAnsi="Times New Roman" w:cs="Times New Roman"/>
        </w:rPr>
        <w:t>?</w:t>
      </w:r>
    </w:p>
    <w:p w14:paraId="271B6B04" w14:textId="07EED289" w:rsidR="000879E0" w:rsidRPr="007C56DF" w:rsidRDefault="00926621" w:rsidP="007C56DF">
      <w:pPr>
        <w:rPr>
          <w:rFonts w:ascii="Times New Roman" w:hAnsi="Times New Roman" w:cs="Times New Roman"/>
        </w:rPr>
      </w:pPr>
      <w:r w:rsidRPr="007C56DF">
        <w:rPr>
          <w:rFonts w:ascii="Times New Roman" w:hAnsi="Times New Roman" w:cs="Times New Roman"/>
        </w:rPr>
        <w:t xml:space="preserve">The focus of this literature review has been on the analysis of the multiple, interconnected systems that </w:t>
      </w:r>
      <w:r w:rsidR="00685A0E" w:rsidRPr="007C56DF">
        <w:rPr>
          <w:rFonts w:ascii="Times New Roman" w:hAnsi="Times New Roman" w:cs="Times New Roman"/>
        </w:rPr>
        <w:t xml:space="preserve">affect the work of teachers and their ability to impact the learning outcomes for their students.  In particular, the work has focused on the development of systems of professional </w:t>
      </w:r>
      <w:r w:rsidR="00685A0E" w:rsidRPr="007C56DF">
        <w:rPr>
          <w:rFonts w:ascii="Times New Roman" w:hAnsi="Times New Roman" w:cs="Times New Roman"/>
        </w:rPr>
        <w:lastRenderedPageBreak/>
        <w:t xml:space="preserve">practice that support the professional development of teachers entering the profession.  </w:t>
      </w:r>
      <w:r w:rsidR="00E54086" w:rsidRPr="007C56DF">
        <w:rPr>
          <w:rFonts w:ascii="Times New Roman" w:hAnsi="Times New Roman" w:cs="Times New Roman"/>
        </w:rPr>
        <w:t xml:space="preserve">SEAs in collaboration with teacher education programs and LEAs must work collaboratively in a grand design for teacher education as a career long continuum of opportunities to practice in mediated settings in which coaching and embedded opportunities to examine the outcomes of practice are part of the landscape.  The </w:t>
      </w:r>
      <w:r w:rsidR="00685A0E" w:rsidRPr="007C56DF">
        <w:rPr>
          <w:rFonts w:ascii="Times New Roman" w:hAnsi="Times New Roman" w:cs="Times New Roman"/>
        </w:rPr>
        <w:t xml:space="preserve">design of teacher preparation, support, and continued professional growth systems must account for the diverse learning needs of the students who fill classrooms across the United States.  To achieve this goal, </w:t>
      </w:r>
      <w:r w:rsidR="00E54086" w:rsidRPr="007C56DF">
        <w:rPr>
          <w:rFonts w:ascii="Times New Roman" w:hAnsi="Times New Roman" w:cs="Times New Roman"/>
        </w:rPr>
        <w:t xml:space="preserve">clear standards for </w:t>
      </w:r>
      <w:r w:rsidR="00685A0E" w:rsidRPr="007C56DF">
        <w:rPr>
          <w:rFonts w:ascii="Times New Roman" w:hAnsi="Times New Roman" w:cs="Times New Roman"/>
        </w:rPr>
        <w:t xml:space="preserve">how and where teachers are prepared </w:t>
      </w:r>
      <w:r w:rsidR="00E54086" w:rsidRPr="007C56DF">
        <w:rPr>
          <w:rFonts w:ascii="Times New Roman" w:hAnsi="Times New Roman" w:cs="Times New Roman"/>
        </w:rPr>
        <w:t xml:space="preserve">must be accompanied by tools that assess the quality of standards implementation.  As important is how schools create a culture of collective professional activity that expects and supports </w:t>
      </w:r>
      <w:r w:rsidR="00685A0E" w:rsidRPr="007C56DF">
        <w:rPr>
          <w:rFonts w:ascii="Times New Roman" w:hAnsi="Times New Roman" w:cs="Times New Roman"/>
        </w:rPr>
        <w:t>ongoing professional learning</w:t>
      </w:r>
      <w:r w:rsidR="00FF732F" w:rsidRPr="007C56DF">
        <w:rPr>
          <w:rFonts w:ascii="Times New Roman" w:hAnsi="Times New Roman" w:cs="Times New Roman"/>
        </w:rPr>
        <w:t xml:space="preserve"> among </w:t>
      </w:r>
      <w:r w:rsidR="00FF732F" w:rsidRPr="007C56DF">
        <w:rPr>
          <w:rFonts w:ascii="Times New Roman" w:hAnsi="Times New Roman" w:cs="Times New Roman"/>
          <w:b/>
        </w:rPr>
        <w:t>All</w:t>
      </w:r>
      <w:r w:rsidR="00FF732F" w:rsidRPr="007C56DF">
        <w:rPr>
          <w:rFonts w:ascii="Times New Roman" w:hAnsi="Times New Roman" w:cs="Times New Roman"/>
        </w:rPr>
        <w:t xml:space="preserve"> its educators</w:t>
      </w:r>
      <w:r w:rsidR="00685A0E" w:rsidRPr="007C56DF">
        <w:rPr>
          <w:rFonts w:ascii="Times New Roman" w:hAnsi="Times New Roman" w:cs="Times New Roman"/>
        </w:rPr>
        <w:t xml:space="preserve">.  </w:t>
      </w:r>
      <w:r w:rsidR="002273CC" w:rsidRPr="007C56DF">
        <w:rPr>
          <w:rFonts w:ascii="Times New Roman" w:hAnsi="Times New Roman" w:cs="Times New Roman"/>
        </w:rPr>
        <w:t xml:space="preserve">Changing the landscapes of these systems is critical to the quality of teacher preparation (Darling-Hammond &amp; Wei, 2009). </w:t>
      </w:r>
    </w:p>
    <w:p w14:paraId="01B0280C" w14:textId="6AC924C0" w:rsidR="00E05FBC" w:rsidRPr="007C56DF" w:rsidRDefault="00BB44BA" w:rsidP="007C56DF">
      <w:pPr>
        <w:pStyle w:val="Heading2"/>
        <w:rPr>
          <w:rFonts w:ascii="Times New Roman" w:hAnsi="Times New Roman" w:cs="Times New Roman"/>
        </w:rPr>
      </w:pPr>
      <w:r w:rsidRPr="007C56DF">
        <w:rPr>
          <w:rFonts w:ascii="Times New Roman" w:hAnsi="Times New Roman" w:cs="Times New Roman"/>
        </w:rPr>
        <w:t xml:space="preserve">Changing the </w:t>
      </w:r>
      <w:r w:rsidR="006335C7" w:rsidRPr="007C56DF">
        <w:rPr>
          <w:rFonts w:ascii="Times New Roman" w:hAnsi="Times New Roman" w:cs="Times New Roman"/>
        </w:rPr>
        <w:t>P</w:t>
      </w:r>
      <w:r w:rsidRPr="007C56DF">
        <w:rPr>
          <w:rFonts w:ascii="Times New Roman" w:hAnsi="Times New Roman" w:cs="Times New Roman"/>
        </w:rPr>
        <w:t>rofession</w:t>
      </w:r>
      <w:r w:rsidR="002E6B0A" w:rsidRPr="007C56DF">
        <w:rPr>
          <w:rFonts w:ascii="Times New Roman" w:hAnsi="Times New Roman" w:cs="Times New Roman"/>
        </w:rPr>
        <w:t xml:space="preserve">  </w:t>
      </w:r>
    </w:p>
    <w:p w14:paraId="4FD5F6E0" w14:textId="6DCDBFF0" w:rsidR="00C0686F" w:rsidRDefault="002E6B0A" w:rsidP="005E49B5">
      <w:pPr>
        <w:rPr>
          <w:rFonts w:ascii="Times New Roman" w:hAnsi="Times New Roman" w:cs="Times New Roman"/>
        </w:rPr>
      </w:pPr>
      <w:r w:rsidRPr="007C56DF">
        <w:rPr>
          <w:rFonts w:ascii="Times New Roman" w:hAnsi="Times New Roman" w:cs="Times New Roman"/>
        </w:rPr>
        <w:t xml:space="preserve">There is much about teacher education that is shared across specific branches of teacher education and practice.  The CEC and InTASC standards point out the intersections.  However, special educators bring specific knowledge about the </w:t>
      </w:r>
      <w:r w:rsidR="00702991" w:rsidRPr="007C56DF">
        <w:rPr>
          <w:rFonts w:ascii="Times New Roman" w:hAnsi="Times New Roman" w:cs="Times New Roman"/>
        </w:rPr>
        <w:t xml:space="preserve">learning </w:t>
      </w:r>
      <w:r w:rsidRPr="007C56DF">
        <w:rPr>
          <w:rFonts w:ascii="Times New Roman" w:hAnsi="Times New Roman" w:cs="Times New Roman"/>
        </w:rPr>
        <w:t>needs of students with disabilities</w:t>
      </w:r>
      <w:r w:rsidR="00702991" w:rsidRPr="007C56DF">
        <w:rPr>
          <w:rFonts w:ascii="Times New Roman" w:hAnsi="Times New Roman" w:cs="Times New Roman"/>
        </w:rPr>
        <w:t xml:space="preserve">, powerful interventions that support their social, behavioral, and academic development, and processes for progress monitoring that support individualizing interventions to improve learning outcomes (Brownell, Sindelar, Kiely &amp; Danielson, 2010).  As Pugach, Blanton, </w:t>
      </w:r>
      <w:r w:rsidR="00901FA3" w:rsidRPr="007C56DF">
        <w:rPr>
          <w:rFonts w:ascii="Times New Roman" w:hAnsi="Times New Roman" w:cs="Times New Roman"/>
        </w:rPr>
        <w:t>and</w:t>
      </w:r>
      <w:r w:rsidR="00702991" w:rsidRPr="007C56DF">
        <w:rPr>
          <w:rFonts w:ascii="Times New Roman" w:hAnsi="Times New Roman" w:cs="Times New Roman"/>
        </w:rPr>
        <w:t xml:space="preserve"> Boveda (2014) </w:t>
      </w:r>
      <w:r w:rsidR="004F65FD" w:rsidRPr="007C56DF">
        <w:rPr>
          <w:rFonts w:ascii="Times New Roman" w:hAnsi="Times New Roman" w:cs="Times New Roman"/>
        </w:rPr>
        <w:t xml:space="preserve">emphasize, if </w:t>
      </w:r>
      <w:r w:rsidR="00702991" w:rsidRPr="007C56DF">
        <w:rPr>
          <w:rFonts w:ascii="Times New Roman" w:hAnsi="Times New Roman" w:cs="Times New Roman"/>
        </w:rPr>
        <w:t xml:space="preserve">collaborative teacher education programs capitalize on the foundational knowledge and practices that all professional educators need, along with opportunities to practice together in highly mediated and well coached conditions, professional teacher preparation can enhance the interdisciplinary practice of general and special educators.  </w:t>
      </w:r>
      <w:r w:rsidR="00071F37" w:rsidRPr="007C56DF">
        <w:rPr>
          <w:rFonts w:ascii="Times New Roman" w:hAnsi="Times New Roman" w:cs="Times New Roman"/>
        </w:rPr>
        <w:t xml:space="preserve">Changing the profession </w:t>
      </w:r>
      <w:r w:rsidR="00071F37" w:rsidRPr="007C56DF">
        <w:rPr>
          <w:rFonts w:ascii="Times New Roman" w:hAnsi="Times New Roman" w:cs="Times New Roman"/>
        </w:rPr>
        <w:lastRenderedPageBreak/>
        <w:t>means blurring the boundaries between practitioners so that they share re</w:t>
      </w:r>
      <w:r w:rsidR="00FF732F" w:rsidRPr="007C56DF">
        <w:rPr>
          <w:rFonts w:ascii="Times New Roman" w:hAnsi="Times New Roman" w:cs="Times New Roman"/>
        </w:rPr>
        <w:t xml:space="preserve">sponsibilities for educating </w:t>
      </w:r>
      <w:r w:rsidR="00FF732F" w:rsidRPr="007C56DF">
        <w:rPr>
          <w:rFonts w:ascii="Times New Roman" w:hAnsi="Times New Roman" w:cs="Times New Roman"/>
          <w:b/>
        </w:rPr>
        <w:t xml:space="preserve">All </w:t>
      </w:r>
      <w:r w:rsidR="00071F37" w:rsidRPr="007C56DF">
        <w:rPr>
          <w:rFonts w:ascii="Times New Roman" w:hAnsi="Times New Roman" w:cs="Times New Roman"/>
        </w:rPr>
        <w:t>students.</w:t>
      </w:r>
    </w:p>
    <w:p w14:paraId="2C3DDDCF" w14:textId="150B6389" w:rsidR="00071F37" w:rsidRPr="007C56DF" w:rsidRDefault="00BB44BA" w:rsidP="007C56DF">
      <w:pPr>
        <w:pStyle w:val="Heading2"/>
        <w:rPr>
          <w:rFonts w:ascii="Times New Roman" w:hAnsi="Times New Roman" w:cs="Times New Roman"/>
        </w:rPr>
      </w:pPr>
      <w:r w:rsidRPr="007C56DF">
        <w:rPr>
          <w:rFonts w:ascii="Times New Roman" w:hAnsi="Times New Roman" w:cs="Times New Roman"/>
        </w:rPr>
        <w:t xml:space="preserve">Changing the </w:t>
      </w:r>
      <w:r w:rsidR="006335C7" w:rsidRPr="007C56DF">
        <w:rPr>
          <w:rFonts w:ascii="Times New Roman" w:hAnsi="Times New Roman" w:cs="Times New Roman"/>
        </w:rPr>
        <w:t>P</w:t>
      </w:r>
      <w:r w:rsidRPr="007C56DF">
        <w:rPr>
          <w:rFonts w:ascii="Times New Roman" w:hAnsi="Times New Roman" w:cs="Times New Roman"/>
        </w:rPr>
        <w:t>ractice</w:t>
      </w:r>
    </w:p>
    <w:p w14:paraId="444D6D6C" w14:textId="3554805F" w:rsidR="00071F37" w:rsidRPr="007C56DF" w:rsidRDefault="00071F37" w:rsidP="007C56DF">
      <w:pPr>
        <w:rPr>
          <w:rFonts w:ascii="Times New Roman" w:hAnsi="Times New Roman" w:cs="Times New Roman"/>
        </w:rPr>
      </w:pPr>
      <w:r w:rsidRPr="007C56DF">
        <w:rPr>
          <w:rFonts w:ascii="Times New Roman" w:hAnsi="Times New Roman" w:cs="Times New Roman"/>
        </w:rPr>
        <w:t xml:space="preserve">Teaching as a practice is also changing.  How teachers teach, how they work together in professional communities, and how they assess their own practice and their outcomes is rapidly changing.  In part, </w:t>
      </w:r>
      <w:r w:rsidR="009B6CCB" w:rsidRPr="007C56DF">
        <w:rPr>
          <w:rFonts w:ascii="Times New Roman" w:hAnsi="Times New Roman" w:cs="Times New Roman"/>
        </w:rPr>
        <w:t>these changes are responses to t</w:t>
      </w:r>
      <w:r w:rsidRPr="007C56DF">
        <w:rPr>
          <w:rFonts w:ascii="Times New Roman" w:hAnsi="Times New Roman" w:cs="Times New Roman"/>
        </w:rPr>
        <w:t xml:space="preserve">he learning gaps between populations of students who are identified by race, ethnicity, first languages, immigrant status and ability </w:t>
      </w:r>
      <w:r w:rsidR="009B6CCB" w:rsidRPr="007C56DF">
        <w:rPr>
          <w:rFonts w:ascii="Times New Roman" w:hAnsi="Times New Roman" w:cs="Times New Roman"/>
        </w:rPr>
        <w:t xml:space="preserve">and who are </w:t>
      </w:r>
      <w:r w:rsidRPr="007C56DF">
        <w:rPr>
          <w:rFonts w:ascii="Times New Roman" w:hAnsi="Times New Roman" w:cs="Times New Roman"/>
        </w:rPr>
        <w:t xml:space="preserve">more likely to be disciplined, identified for special education, and less likely to </w:t>
      </w:r>
      <w:r w:rsidR="009B6CCB" w:rsidRPr="007C56DF">
        <w:rPr>
          <w:rFonts w:ascii="Times New Roman" w:hAnsi="Times New Roman" w:cs="Times New Roman"/>
        </w:rPr>
        <w:t xml:space="preserve">access advanced placement classrooms.  In spite of multiple reform initiatives, disproportionality across a number of indices remain.  Schools are likely to be highly segregated racially in many of our cities (Orfield &amp; Frankenberg, 2014).  Changing practice means attending to how teachers teach but it also means attending to the structural boundaries that contribute to the de facto segregation and lack of opportunity, access, and participation in high quality learning that many of our students experience.  </w:t>
      </w:r>
      <w:r w:rsidR="004F65FD" w:rsidRPr="007C56DF">
        <w:rPr>
          <w:rFonts w:ascii="Times New Roman" w:hAnsi="Times New Roman" w:cs="Times New Roman"/>
        </w:rPr>
        <w:t>We have argued here that while we must focus our attention on the former, without changing the grand landscape, we are likely to continue to progress incrementally.</w:t>
      </w:r>
    </w:p>
    <w:p w14:paraId="660C5045" w14:textId="01705DD5" w:rsidR="00E05FBC" w:rsidRPr="004E71C7" w:rsidRDefault="00FF69DC" w:rsidP="007C56DF">
      <w:pPr>
        <w:pStyle w:val="Heading1"/>
        <w:spacing w:line="480" w:lineRule="auto"/>
        <w:rPr>
          <w:rFonts w:ascii="Times New Roman" w:hAnsi="Times New Roman" w:cs="Times New Roman"/>
          <w:b w:val="0"/>
        </w:rPr>
      </w:pPr>
      <w:r w:rsidRPr="007C56DF">
        <w:rPr>
          <w:rFonts w:ascii="Times New Roman" w:hAnsi="Times New Roman" w:cs="Times New Roman"/>
        </w:rPr>
        <w:br w:type="column"/>
      </w:r>
      <w:r w:rsidR="001F73E9" w:rsidRPr="004E71C7">
        <w:rPr>
          <w:rFonts w:ascii="Times New Roman" w:hAnsi="Times New Roman" w:cs="Times New Roman"/>
          <w:b w:val="0"/>
        </w:rPr>
        <w:lastRenderedPageBreak/>
        <w:t>References</w:t>
      </w:r>
    </w:p>
    <w:p w14:paraId="62283FB8" w14:textId="6310D9B4" w:rsidR="004F65FD" w:rsidRPr="007C56DF" w:rsidRDefault="004F65FD" w:rsidP="007C56DF">
      <w:pPr>
        <w:ind w:left="720" w:hanging="720"/>
        <w:rPr>
          <w:rFonts w:ascii="Times New Roman" w:hAnsi="Times New Roman" w:cs="Times New Roman"/>
        </w:rPr>
      </w:pPr>
      <w:r w:rsidRPr="007C56DF">
        <w:rPr>
          <w:rFonts w:ascii="Times New Roman" w:hAnsi="Times New Roman" w:cs="Times New Roman"/>
        </w:rPr>
        <w:t xml:space="preserve">Adams, S. (2013).  The college degrees with the highest starting salaries.  </w:t>
      </w:r>
      <w:r w:rsidRPr="007C56DF">
        <w:rPr>
          <w:rFonts w:ascii="Times New Roman" w:hAnsi="Times New Roman" w:cs="Times New Roman"/>
          <w:i/>
        </w:rPr>
        <w:t>Forbes</w:t>
      </w:r>
      <w:r w:rsidRPr="007C56DF">
        <w:rPr>
          <w:rFonts w:ascii="Times New Roman" w:hAnsi="Times New Roman" w:cs="Times New Roman"/>
        </w:rPr>
        <w:t xml:space="preserve">, DOI:  </w:t>
      </w:r>
      <w:r w:rsidRPr="00AA6030">
        <w:rPr>
          <w:rFonts w:ascii="Times New Roman" w:hAnsi="Times New Roman" w:cs="Times New Roman"/>
        </w:rPr>
        <w:t>http://www.forbes.com/sites/susanadams/2013/09/20/the-college-degrees-with-the-highest-starting-salaries/</w:t>
      </w:r>
    </w:p>
    <w:p w14:paraId="3D216B8E" w14:textId="77777777" w:rsidR="004F65FD" w:rsidRPr="007C56DF" w:rsidRDefault="004F65FD" w:rsidP="007C56DF">
      <w:pPr>
        <w:ind w:left="720" w:hanging="720"/>
        <w:rPr>
          <w:rFonts w:ascii="Times New Roman" w:hAnsi="Times New Roman" w:cs="Times New Roman"/>
        </w:rPr>
      </w:pPr>
      <w:r w:rsidRPr="00452BCF">
        <w:rPr>
          <w:rFonts w:ascii="Times New Roman" w:hAnsi="Times New Roman" w:cs="Times New Roman"/>
        </w:rPr>
        <w:t xml:space="preserve">Aladjem, D. K., LeFloch, K.C., Zhang, Y., Kurki, A., Boyle, A., Taylor, J. E., Herrmann, S., Uekawa, K., Thomsen, K., Fashola, O. (2006).  </w:t>
      </w:r>
      <w:r w:rsidRPr="00452BCF">
        <w:rPr>
          <w:rFonts w:ascii="Times New Roman" w:hAnsi="Times New Roman" w:cs="Times New Roman"/>
          <w:i/>
        </w:rPr>
        <w:t>Models Matter—the Final Report of the National Longitudinal Evaluation of Comprehensive School Reform</w:t>
      </w:r>
      <w:r w:rsidRPr="00452BCF">
        <w:rPr>
          <w:rFonts w:ascii="Times New Roman" w:hAnsi="Times New Roman" w:cs="Times New Roman"/>
        </w:rPr>
        <w:t>.  Washington, D. C.:  American Institutes of Research.</w:t>
      </w:r>
      <w:r w:rsidRPr="007C56DF">
        <w:rPr>
          <w:rFonts w:ascii="Times New Roman" w:hAnsi="Times New Roman" w:cs="Times New Roman"/>
        </w:rPr>
        <w:tab/>
      </w:r>
    </w:p>
    <w:p w14:paraId="46280E23" w14:textId="77777777" w:rsidR="004F65FD" w:rsidRPr="007C56DF" w:rsidRDefault="004F65FD" w:rsidP="007C56DF">
      <w:pPr>
        <w:ind w:left="720" w:hanging="720"/>
        <w:rPr>
          <w:rFonts w:ascii="Times New Roman" w:eastAsia="Times New Roman" w:hAnsi="Times New Roman" w:cs="Times New Roman"/>
          <w:color w:val="333333"/>
        </w:rPr>
      </w:pPr>
      <w:r w:rsidRPr="007C56DF">
        <w:rPr>
          <w:rFonts w:ascii="Times New Roman" w:eastAsia="Times New Roman" w:hAnsi="Times New Roman" w:cs="Times New Roman"/>
          <w:color w:val="333333"/>
        </w:rPr>
        <w:t xml:space="preserve">Arsenault, R. (1984).  The end of the long hot summer: The air conditioner and southern culture.  </w:t>
      </w:r>
      <w:r w:rsidRPr="007C56DF">
        <w:rPr>
          <w:rFonts w:ascii="Times New Roman" w:eastAsia="Times New Roman" w:hAnsi="Times New Roman" w:cs="Times New Roman"/>
          <w:i/>
          <w:color w:val="333333"/>
        </w:rPr>
        <w:t>The Journal of Southern History</w:t>
      </w:r>
      <w:r w:rsidRPr="007C56DF">
        <w:rPr>
          <w:rFonts w:ascii="Times New Roman" w:eastAsia="Times New Roman" w:hAnsi="Times New Roman" w:cs="Times New Roman"/>
          <w:color w:val="333333"/>
        </w:rPr>
        <w:t>, 50, 597-628.</w:t>
      </w:r>
    </w:p>
    <w:p w14:paraId="09B32F9B" w14:textId="4B9E9801" w:rsidR="004F65FD" w:rsidRPr="007C56DF" w:rsidRDefault="004F65FD" w:rsidP="007C56DF">
      <w:pPr>
        <w:ind w:left="720" w:hanging="720"/>
        <w:rPr>
          <w:rFonts w:ascii="Times New Roman" w:hAnsi="Times New Roman" w:cs="Times New Roman"/>
        </w:rPr>
      </w:pPr>
      <w:r w:rsidRPr="007C56DF">
        <w:rPr>
          <w:rFonts w:ascii="Times New Roman" w:hAnsi="Times New Roman" w:cs="Times New Roman"/>
        </w:rPr>
        <w:t>Artiles, A. (2014).  Beyond responsiveness to identity badges:  Future research on culture in disability an</w:t>
      </w:r>
      <w:r w:rsidR="00B34617" w:rsidRPr="007C56DF">
        <w:rPr>
          <w:rFonts w:ascii="Times New Roman" w:hAnsi="Times New Roman" w:cs="Times New Roman"/>
        </w:rPr>
        <w:t>d</w:t>
      </w:r>
      <w:r w:rsidRPr="007C56DF">
        <w:rPr>
          <w:rFonts w:ascii="Times New Roman" w:hAnsi="Times New Roman" w:cs="Times New Roman"/>
        </w:rPr>
        <w:t xml:space="preserve"> implications for Response to Intervention.  </w:t>
      </w:r>
      <w:r w:rsidRPr="007C56DF">
        <w:rPr>
          <w:rFonts w:ascii="Times New Roman" w:hAnsi="Times New Roman" w:cs="Times New Roman"/>
          <w:i/>
        </w:rPr>
        <w:t>Educational Revie</w:t>
      </w:r>
      <w:r w:rsidRPr="007C56DF">
        <w:rPr>
          <w:rFonts w:ascii="Times New Roman" w:hAnsi="Times New Roman" w:cs="Times New Roman"/>
        </w:rPr>
        <w:t>w, (ahead-of-print), 1-22.</w:t>
      </w:r>
    </w:p>
    <w:p w14:paraId="3A360D73" w14:textId="5442A121" w:rsidR="004F65FD" w:rsidRPr="007C56DF" w:rsidRDefault="004F65FD" w:rsidP="007C56DF">
      <w:pPr>
        <w:ind w:left="720" w:hanging="720"/>
        <w:rPr>
          <w:rFonts w:ascii="Times New Roman" w:hAnsi="Times New Roman" w:cs="Times New Roman"/>
          <w:i/>
        </w:rPr>
      </w:pPr>
      <w:r w:rsidRPr="007C56DF">
        <w:rPr>
          <w:rFonts w:ascii="Times New Roman" w:hAnsi="Times New Roman" w:cs="Times New Roman"/>
        </w:rPr>
        <w:t xml:space="preserve">Artiles, A. J. &amp; Kozleski, E. B. (in review).  Inclusion’s promises and trajectories:  Critical notes about future research on a venerable idea.  </w:t>
      </w:r>
    </w:p>
    <w:p w14:paraId="46AEBAD6" w14:textId="77777777" w:rsidR="004F65FD" w:rsidRPr="007C56DF" w:rsidRDefault="004F65FD" w:rsidP="007C56DF">
      <w:pPr>
        <w:pStyle w:val="BodyText2"/>
        <w:spacing w:after="120"/>
        <w:ind w:left="576" w:hanging="576"/>
        <w:rPr>
          <w:rFonts w:ascii="Times New Roman" w:eastAsia="Adobe Song Std L" w:hAnsi="Times New Roman" w:cs="Times New Roman"/>
          <w:color w:val="auto"/>
        </w:rPr>
      </w:pPr>
      <w:r w:rsidRPr="007C56DF">
        <w:rPr>
          <w:rFonts w:ascii="Times New Roman" w:eastAsia="Adobe Song Std L" w:hAnsi="Times New Roman" w:cs="Times New Roman"/>
          <w:color w:val="auto"/>
        </w:rPr>
        <w:t xml:space="preserve">Artiles, A., Kozleski, E. B., Trent, S. Osher, D., &amp; Ortiz, A. (2010).  Justifying and explaining disproportionality, 1968-2008: A critique of underlying views of culture. </w:t>
      </w:r>
      <w:r w:rsidRPr="007C56DF">
        <w:rPr>
          <w:rFonts w:ascii="Times New Roman" w:eastAsia="Adobe Song Std L" w:hAnsi="Times New Roman" w:cs="Times New Roman"/>
          <w:i/>
          <w:color w:val="auto"/>
        </w:rPr>
        <w:t>Exceptional Children</w:t>
      </w:r>
      <w:r w:rsidRPr="007C56DF">
        <w:rPr>
          <w:rFonts w:ascii="Times New Roman" w:eastAsia="Adobe Song Std L" w:hAnsi="Times New Roman" w:cs="Times New Roman"/>
          <w:color w:val="auto"/>
        </w:rPr>
        <w:t>, 76, 279-299.</w:t>
      </w:r>
    </w:p>
    <w:p w14:paraId="38427737" w14:textId="77777777" w:rsidR="004F65FD" w:rsidRPr="007C56DF" w:rsidRDefault="004F65FD" w:rsidP="007C56DF">
      <w:pPr>
        <w:ind w:left="720" w:hanging="720"/>
        <w:rPr>
          <w:rFonts w:ascii="Times New Roman" w:hAnsi="Times New Roman" w:cs="Times New Roman"/>
          <w:noProof/>
        </w:rPr>
      </w:pPr>
      <w:r w:rsidRPr="007C56DF">
        <w:rPr>
          <w:rFonts w:ascii="Times New Roman" w:hAnsi="Times New Roman" w:cs="Times New Roman"/>
          <w:noProof/>
        </w:rPr>
        <w:t xml:space="preserve">Ball, D. (2013). </w:t>
      </w:r>
      <w:r w:rsidRPr="007C56DF">
        <w:rPr>
          <w:rFonts w:ascii="Times New Roman" w:hAnsi="Times New Roman" w:cs="Times New Roman"/>
          <w:i/>
          <w:noProof/>
        </w:rPr>
        <w:t>Safe to Practice as the standard for licensure</w:t>
      </w:r>
      <w:r w:rsidRPr="007C56DF">
        <w:rPr>
          <w:rFonts w:ascii="Times New Roman" w:hAnsi="Times New Roman" w:cs="Times New Roman"/>
          <w:noProof/>
        </w:rPr>
        <w:t xml:space="preserve">. Paper presented at the 2013 National edTPA Implementation Conference, San Diego, CA. </w:t>
      </w:r>
    </w:p>
    <w:p w14:paraId="68E439CB" w14:textId="77777777" w:rsidR="004F65FD" w:rsidRPr="007C56DF" w:rsidRDefault="004F65FD" w:rsidP="007C56DF">
      <w:pPr>
        <w:ind w:left="720" w:hanging="720"/>
        <w:rPr>
          <w:rFonts w:ascii="Times New Roman" w:hAnsi="Times New Roman" w:cs="Times New Roman"/>
          <w:noProof/>
        </w:rPr>
      </w:pPr>
      <w:bookmarkStart w:id="1" w:name="_ENREF_2"/>
      <w:r w:rsidRPr="007C56DF">
        <w:rPr>
          <w:rFonts w:ascii="Times New Roman" w:hAnsi="Times New Roman" w:cs="Times New Roman"/>
          <w:noProof/>
        </w:rPr>
        <w:t xml:space="preserve">Ball, D. L. (2014, March 3, 2014). </w:t>
      </w:r>
      <w:r w:rsidRPr="007C56DF">
        <w:rPr>
          <w:rFonts w:ascii="Times New Roman" w:hAnsi="Times New Roman" w:cs="Times New Roman"/>
          <w:i/>
          <w:noProof/>
        </w:rPr>
        <w:t>(To what and to whom) should teacher preparation hold ourselves accountable?</w:t>
      </w:r>
      <w:r w:rsidRPr="007C56DF">
        <w:rPr>
          <w:rFonts w:ascii="Times New Roman" w:hAnsi="Times New Roman" w:cs="Times New Roman"/>
          <w:noProof/>
        </w:rPr>
        <w:t xml:space="preserve"> Paper presented at the American Association for Colleges of Teacher Education (AACTE), Indianapolis, IN.</w:t>
      </w:r>
      <w:bookmarkEnd w:id="1"/>
    </w:p>
    <w:p w14:paraId="1689FF29" w14:textId="77777777" w:rsidR="004F65FD" w:rsidRPr="007C56DF" w:rsidRDefault="004F65FD" w:rsidP="007C56DF">
      <w:pPr>
        <w:ind w:left="720" w:hanging="720"/>
        <w:rPr>
          <w:rFonts w:ascii="Times New Roman" w:hAnsi="Times New Roman" w:cs="Times New Roman"/>
        </w:rPr>
      </w:pPr>
      <w:r w:rsidRPr="007C56DF">
        <w:rPr>
          <w:rFonts w:ascii="Times New Roman" w:hAnsi="Times New Roman" w:cs="Times New Roman"/>
        </w:rPr>
        <w:lastRenderedPageBreak/>
        <w:t>Ball, D. L., &amp; Forzani, F. M. (2010). What does it take to make a teacher? </w:t>
      </w:r>
      <w:r w:rsidRPr="007C56DF">
        <w:rPr>
          <w:rFonts w:ascii="Times New Roman" w:hAnsi="Times New Roman" w:cs="Times New Roman"/>
          <w:i/>
          <w:iCs/>
        </w:rPr>
        <w:t>Phi Delta Kappan</w:t>
      </w:r>
      <w:r w:rsidRPr="007C56DF">
        <w:rPr>
          <w:rFonts w:ascii="Times New Roman" w:hAnsi="Times New Roman" w:cs="Times New Roman"/>
        </w:rPr>
        <w:t>, </w:t>
      </w:r>
      <w:r w:rsidRPr="007C56DF">
        <w:rPr>
          <w:rFonts w:ascii="Times New Roman" w:hAnsi="Times New Roman" w:cs="Times New Roman"/>
          <w:i/>
          <w:iCs/>
        </w:rPr>
        <w:t>92</w:t>
      </w:r>
      <w:r w:rsidRPr="007C56DF">
        <w:rPr>
          <w:rFonts w:ascii="Times New Roman" w:hAnsi="Times New Roman" w:cs="Times New Roman"/>
        </w:rPr>
        <w:t>(2), 8-12.</w:t>
      </w:r>
    </w:p>
    <w:p w14:paraId="470E7646" w14:textId="77777777" w:rsidR="004F65FD" w:rsidRPr="007C56DF" w:rsidRDefault="004F65FD" w:rsidP="007C56DF">
      <w:pPr>
        <w:ind w:left="720" w:hanging="720"/>
        <w:rPr>
          <w:rFonts w:ascii="Times New Roman" w:hAnsi="Times New Roman" w:cs="Times New Roman"/>
        </w:rPr>
      </w:pPr>
      <w:r w:rsidRPr="007C56DF">
        <w:rPr>
          <w:rFonts w:ascii="Times New Roman" w:hAnsi="Times New Roman" w:cs="Times New Roman"/>
        </w:rPr>
        <w:t>Ball, D. L., &amp; Forzani, F. M. (2011). Building a common core for learning to teach: And connecting professional learning to practice. </w:t>
      </w:r>
      <w:r w:rsidRPr="007C56DF">
        <w:rPr>
          <w:rFonts w:ascii="Times New Roman" w:hAnsi="Times New Roman" w:cs="Times New Roman"/>
          <w:i/>
          <w:iCs/>
        </w:rPr>
        <w:t>American Educator</w:t>
      </w:r>
      <w:r w:rsidRPr="007C56DF">
        <w:rPr>
          <w:rFonts w:ascii="Times New Roman" w:hAnsi="Times New Roman" w:cs="Times New Roman"/>
        </w:rPr>
        <w:t xml:space="preserve">, </w:t>
      </w:r>
      <w:r w:rsidRPr="007C56DF">
        <w:rPr>
          <w:rFonts w:ascii="Times New Roman" w:hAnsi="Times New Roman" w:cs="Times New Roman"/>
          <w:i/>
          <w:iCs/>
        </w:rPr>
        <w:t>35</w:t>
      </w:r>
      <w:r w:rsidRPr="007C56DF">
        <w:rPr>
          <w:rFonts w:ascii="Times New Roman" w:hAnsi="Times New Roman" w:cs="Times New Roman"/>
        </w:rPr>
        <w:t>(2), 17-21, 38-39.</w:t>
      </w:r>
    </w:p>
    <w:p w14:paraId="10DC45FB" w14:textId="77777777" w:rsidR="004F65FD" w:rsidRPr="007C56DF" w:rsidRDefault="004F65FD" w:rsidP="007C56DF">
      <w:pPr>
        <w:ind w:left="720" w:hanging="720"/>
        <w:rPr>
          <w:rFonts w:ascii="Times New Roman" w:hAnsi="Times New Roman" w:cs="Times New Roman"/>
        </w:rPr>
      </w:pPr>
      <w:r w:rsidRPr="007C56DF">
        <w:rPr>
          <w:rFonts w:ascii="Times New Roman" w:hAnsi="Times New Roman" w:cs="Times New Roman"/>
        </w:rPr>
        <w:t xml:space="preserve">Ball, S. J. &amp; Olmedo, A. (2013). Care of the self, resistance and subjectivity under neoliberal governmentalities.  </w:t>
      </w:r>
      <w:r w:rsidRPr="007C56DF">
        <w:rPr>
          <w:rFonts w:ascii="Times New Roman" w:hAnsi="Times New Roman" w:cs="Times New Roman"/>
          <w:i/>
        </w:rPr>
        <w:t>Critical Studies in Education</w:t>
      </w:r>
      <w:r w:rsidRPr="007C56DF">
        <w:rPr>
          <w:rFonts w:ascii="Times New Roman" w:hAnsi="Times New Roman" w:cs="Times New Roman"/>
        </w:rPr>
        <w:t xml:space="preserve">, </w:t>
      </w:r>
      <w:r w:rsidRPr="007C56DF">
        <w:rPr>
          <w:rFonts w:ascii="Times New Roman" w:hAnsi="Times New Roman" w:cs="Times New Roman"/>
          <w:i/>
        </w:rPr>
        <w:t>54</w:t>
      </w:r>
      <w:r w:rsidRPr="007C56DF">
        <w:rPr>
          <w:rFonts w:ascii="Times New Roman" w:hAnsi="Times New Roman" w:cs="Times New Roman"/>
        </w:rPr>
        <w:t>, 85-96, DOI:  10.1080/17508487.2013.740678</w:t>
      </w:r>
    </w:p>
    <w:p w14:paraId="6D756CE5" w14:textId="77777777" w:rsidR="004F65FD" w:rsidRPr="007C56DF" w:rsidRDefault="004F65FD" w:rsidP="007C56DF">
      <w:pPr>
        <w:ind w:left="720" w:hanging="720"/>
        <w:rPr>
          <w:rFonts w:ascii="Times New Roman" w:hAnsi="Times New Roman" w:cs="Times New Roman"/>
          <w:u w:val="single"/>
        </w:rPr>
      </w:pPr>
      <w:r w:rsidRPr="00452BCF">
        <w:rPr>
          <w:rFonts w:ascii="Times New Roman" w:hAnsi="Times New Roman" w:cs="Times New Roman"/>
        </w:rPr>
        <w:t xml:space="preserve">Bates, A. (2013).  Transcending systems thinking in education reform:  Implications for policy-makers and school leaders.  </w:t>
      </w:r>
      <w:r w:rsidRPr="00452BCF">
        <w:rPr>
          <w:rFonts w:ascii="Times New Roman" w:hAnsi="Times New Roman" w:cs="Times New Roman"/>
          <w:i/>
        </w:rPr>
        <w:t>Journal of Education Policy</w:t>
      </w:r>
      <w:r w:rsidRPr="00452BCF">
        <w:rPr>
          <w:rFonts w:ascii="Times New Roman" w:hAnsi="Times New Roman" w:cs="Times New Roman"/>
        </w:rPr>
        <w:t xml:space="preserve">, </w:t>
      </w:r>
      <w:r w:rsidRPr="00452BCF">
        <w:rPr>
          <w:rFonts w:ascii="Times New Roman" w:hAnsi="Times New Roman" w:cs="Times New Roman"/>
          <w:i/>
        </w:rPr>
        <w:t>28</w:t>
      </w:r>
      <w:r w:rsidRPr="00452BCF">
        <w:rPr>
          <w:rFonts w:ascii="Times New Roman" w:hAnsi="Times New Roman" w:cs="Times New Roman"/>
        </w:rPr>
        <w:t>, 38-54.</w:t>
      </w:r>
    </w:p>
    <w:p w14:paraId="4CDF8EAB" w14:textId="77777777" w:rsidR="004F65FD" w:rsidRPr="007C56DF" w:rsidRDefault="004F65FD" w:rsidP="007C56DF">
      <w:pPr>
        <w:ind w:left="720" w:hanging="720"/>
        <w:rPr>
          <w:rFonts w:ascii="Times New Roman" w:hAnsi="Times New Roman" w:cs="Times New Roman"/>
        </w:rPr>
      </w:pPr>
      <w:r w:rsidRPr="007C56DF">
        <w:rPr>
          <w:rFonts w:ascii="Times New Roman" w:hAnsi="Times New Roman" w:cs="Times New Roman"/>
        </w:rPr>
        <w:t xml:space="preserve">Berliner, D. &amp; Glass, G. (2014).  </w:t>
      </w:r>
      <w:r w:rsidRPr="007C56DF">
        <w:rPr>
          <w:rFonts w:ascii="Times New Roman" w:hAnsi="Times New Roman" w:cs="Times New Roman"/>
          <w:i/>
        </w:rPr>
        <w:t xml:space="preserve">Fifty myths and lies that threaten American’s public schools.  </w:t>
      </w:r>
      <w:r w:rsidRPr="007C56DF">
        <w:rPr>
          <w:rFonts w:ascii="Times New Roman" w:hAnsi="Times New Roman" w:cs="Times New Roman"/>
        </w:rPr>
        <w:t>New York:  Teachers College Press.</w:t>
      </w:r>
    </w:p>
    <w:p w14:paraId="37710B2A" w14:textId="77777777" w:rsidR="004F65FD" w:rsidRPr="007C56DF" w:rsidRDefault="004F65FD" w:rsidP="007C56DF">
      <w:pPr>
        <w:ind w:left="720" w:hanging="720"/>
        <w:rPr>
          <w:rFonts w:ascii="Times New Roman" w:hAnsi="Times New Roman" w:cs="Times New Roman"/>
          <w:noProof/>
        </w:rPr>
      </w:pPr>
      <w:r w:rsidRPr="007C56DF">
        <w:rPr>
          <w:rFonts w:ascii="Times New Roman" w:hAnsi="Times New Roman" w:cs="Times New Roman"/>
          <w:noProof/>
        </w:rPr>
        <w:t>Blase, K., &amp; Fixsen, D. (2013). Core Intervention Components: Identifying and Operationalizing What Makes Programs Work. ASPE Research Brief. </w:t>
      </w:r>
      <w:r w:rsidRPr="007C56DF">
        <w:rPr>
          <w:rFonts w:ascii="Times New Roman" w:hAnsi="Times New Roman" w:cs="Times New Roman"/>
          <w:i/>
          <w:iCs/>
          <w:noProof/>
        </w:rPr>
        <w:t>US Department of Health and Human Services</w:t>
      </w:r>
      <w:r w:rsidRPr="007C56DF">
        <w:rPr>
          <w:rFonts w:ascii="Times New Roman" w:hAnsi="Times New Roman" w:cs="Times New Roman"/>
          <w:noProof/>
        </w:rPr>
        <w:t>.</w:t>
      </w:r>
    </w:p>
    <w:p w14:paraId="06C62A52" w14:textId="77777777" w:rsidR="004F65FD" w:rsidRPr="007C56DF" w:rsidRDefault="004F65FD" w:rsidP="007C56DF">
      <w:pPr>
        <w:ind w:left="720" w:hanging="720"/>
        <w:rPr>
          <w:rFonts w:ascii="Times New Roman" w:hAnsi="Times New Roman" w:cs="Times New Roman"/>
          <w:noProof/>
        </w:rPr>
      </w:pPr>
      <w:r w:rsidRPr="007C56DF">
        <w:rPr>
          <w:rFonts w:ascii="Times New Roman" w:hAnsi="Times New Roman" w:cs="Times New Roman"/>
          <w:noProof/>
        </w:rPr>
        <w:t xml:space="preserve">Boyd, D., Grossman, P., Lankford, H., Loeb, S., &amp; Wyckoff, J. (2008). </w:t>
      </w:r>
      <w:r w:rsidRPr="007C56DF">
        <w:rPr>
          <w:rFonts w:ascii="Times New Roman" w:hAnsi="Times New Roman" w:cs="Times New Roman"/>
          <w:i/>
          <w:iCs/>
          <w:noProof/>
        </w:rPr>
        <w:t xml:space="preserve">Teacher preparation and student achievement </w:t>
      </w:r>
      <w:r w:rsidRPr="007C56DF">
        <w:rPr>
          <w:rFonts w:ascii="Times New Roman" w:hAnsi="Times New Roman" w:cs="Times New Roman"/>
          <w:noProof/>
        </w:rPr>
        <w:t>(NBER Working Paper No. W14314). Cambridge, MA: National Bureau of Economic Research.</w:t>
      </w:r>
    </w:p>
    <w:p w14:paraId="7B523A04" w14:textId="77777777" w:rsidR="004F65FD" w:rsidRPr="007C56DF" w:rsidRDefault="004F65FD" w:rsidP="007C56DF">
      <w:pPr>
        <w:ind w:left="720" w:hanging="720"/>
        <w:rPr>
          <w:rFonts w:ascii="Times New Roman" w:eastAsia="Calibri" w:hAnsi="Times New Roman" w:cs="Times New Roman"/>
          <w:spacing w:val="0"/>
        </w:rPr>
      </w:pPr>
      <w:r w:rsidRPr="007C56DF">
        <w:rPr>
          <w:rFonts w:ascii="Times New Roman" w:eastAsia="Calibri" w:hAnsi="Times New Roman" w:cs="Times New Roman"/>
          <w:spacing w:val="0"/>
        </w:rPr>
        <w:t xml:space="preserve">Boyd, D., Grossman, P., Lankford, H., Loeb, S., &amp; Wyckoff, J. (2009). Teacher preparation and student achievement. </w:t>
      </w:r>
      <w:r w:rsidRPr="007C56DF">
        <w:rPr>
          <w:rFonts w:ascii="Times New Roman" w:eastAsia="Calibri" w:hAnsi="Times New Roman" w:cs="Times New Roman"/>
          <w:i/>
          <w:spacing w:val="0"/>
        </w:rPr>
        <w:t>Educational Evaluation and Policy Analysis</w:t>
      </w:r>
      <w:r w:rsidRPr="007C56DF">
        <w:rPr>
          <w:rFonts w:ascii="Times New Roman" w:eastAsia="Calibri" w:hAnsi="Times New Roman" w:cs="Times New Roman"/>
          <w:spacing w:val="0"/>
        </w:rPr>
        <w:t>, Vol. 31, No. 4, 416-440.</w:t>
      </w:r>
    </w:p>
    <w:p w14:paraId="1C88AE6E" w14:textId="77777777" w:rsidR="004F65FD" w:rsidRPr="007C56DF" w:rsidRDefault="004F65FD" w:rsidP="007C56DF">
      <w:pPr>
        <w:ind w:left="720" w:hanging="720"/>
        <w:rPr>
          <w:rFonts w:ascii="Times New Roman" w:hAnsi="Times New Roman" w:cs="Times New Roman"/>
          <w:noProof/>
        </w:rPr>
      </w:pPr>
      <w:r w:rsidRPr="007C56DF">
        <w:rPr>
          <w:rFonts w:ascii="Times New Roman" w:hAnsi="Times New Roman" w:cs="Times New Roman"/>
          <w:noProof/>
        </w:rPr>
        <w:t xml:space="preserve">Boyd, D., Lankford, H., Loeb, S., Rockoff, J., &amp; Wyckoff, J. (2007). </w:t>
      </w:r>
      <w:r w:rsidRPr="007C56DF">
        <w:rPr>
          <w:rFonts w:ascii="Times New Roman" w:hAnsi="Times New Roman" w:cs="Times New Roman"/>
          <w:i/>
          <w:iCs/>
          <w:noProof/>
        </w:rPr>
        <w:t>The narrowing gap in New York City teacher qualifications and its implications for student achievement in high-</w:t>
      </w:r>
      <w:r w:rsidRPr="007C56DF">
        <w:rPr>
          <w:rFonts w:ascii="Times New Roman" w:hAnsi="Times New Roman" w:cs="Times New Roman"/>
          <w:i/>
          <w:iCs/>
          <w:noProof/>
        </w:rPr>
        <w:lastRenderedPageBreak/>
        <w:t>poverty schools</w:t>
      </w:r>
      <w:r w:rsidRPr="007C56DF">
        <w:rPr>
          <w:rFonts w:ascii="Times New Roman" w:hAnsi="Times New Roman" w:cs="Times New Roman"/>
          <w:noProof/>
        </w:rPr>
        <w:t>. Washington, DC: National Center for the Analysis of Longitudinal Data in Education Research.</w:t>
      </w:r>
    </w:p>
    <w:p w14:paraId="429878EB" w14:textId="0F3FD320" w:rsidR="004F65FD" w:rsidRPr="007C56DF" w:rsidRDefault="00945E8F" w:rsidP="007C56DF">
      <w:pPr>
        <w:ind w:left="720" w:hanging="720"/>
        <w:rPr>
          <w:rFonts w:ascii="Times New Roman" w:hAnsi="Times New Roman" w:cs="Times New Roman"/>
        </w:rPr>
      </w:pPr>
      <w:r w:rsidRPr="007C56DF">
        <w:rPr>
          <w:rFonts w:ascii="Times New Roman" w:hAnsi="Times New Roman" w:cs="Times New Roman"/>
        </w:rPr>
        <w:t>Brantlinger, E. (2006</w:t>
      </w:r>
      <w:r w:rsidR="004F65FD" w:rsidRPr="007C56DF">
        <w:rPr>
          <w:rFonts w:ascii="Times New Roman" w:hAnsi="Times New Roman" w:cs="Times New Roman"/>
        </w:rPr>
        <w:t>). The big glossies: How textbooks structure (special) education. In</w:t>
      </w:r>
      <w:r w:rsidRPr="007C56DF">
        <w:rPr>
          <w:rFonts w:ascii="Times New Roman" w:hAnsi="Times New Roman" w:cs="Times New Roman"/>
        </w:rPr>
        <w:t xml:space="preserve"> E. Brantlinger (Ed.)</w:t>
      </w:r>
      <w:r w:rsidR="004F65FD" w:rsidRPr="007C56DF">
        <w:rPr>
          <w:rFonts w:ascii="Times New Roman" w:hAnsi="Times New Roman" w:cs="Times New Roman"/>
        </w:rPr>
        <w:t>. </w:t>
      </w:r>
      <w:r w:rsidR="004F65FD" w:rsidRPr="007C56DF">
        <w:rPr>
          <w:rFonts w:ascii="Times New Roman" w:hAnsi="Times New Roman" w:cs="Times New Roman"/>
          <w:i/>
          <w:iCs/>
        </w:rPr>
        <w:t>Who benefits from special education? Remediating (fixing) other people's children</w:t>
      </w:r>
      <w:r w:rsidR="004F65FD" w:rsidRPr="007C56DF">
        <w:rPr>
          <w:rFonts w:ascii="Times New Roman" w:hAnsi="Times New Roman" w:cs="Times New Roman"/>
        </w:rPr>
        <w:t> (pp. 45-75). Mahway, NJ: Erlbaum.</w:t>
      </w:r>
    </w:p>
    <w:p w14:paraId="6E63A9BB" w14:textId="63CF0698" w:rsidR="004F65FD" w:rsidRPr="007C56DF" w:rsidRDefault="008A54A7" w:rsidP="007C56DF">
      <w:pPr>
        <w:ind w:left="720" w:hanging="720"/>
        <w:rPr>
          <w:rFonts w:ascii="Times New Roman" w:hAnsi="Times New Roman" w:cs="Times New Roman"/>
          <w:i/>
        </w:rPr>
      </w:pPr>
      <w:r>
        <w:rPr>
          <w:rFonts w:ascii="Times New Roman" w:hAnsi="Times New Roman" w:cs="Times New Roman"/>
        </w:rPr>
        <w:t xml:space="preserve">Bronfenbrenner, </w:t>
      </w:r>
      <w:r w:rsidR="004F65FD" w:rsidRPr="007C56DF">
        <w:rPr>
          <w:rFonts w:ascii="Times New Roman" w:hAnsi="Times New Roman" w:cs="Times New Roman"/>
        </w:rPr>
        <w:t xml:space="preserve">U.  </w:t>
      </w:r>
      <w:r w:rsidR="004F65FD" w:rsidRPr="007C56DF">
        <w:rPr>
          <w:rFonts w:ascii="Times New Roman" w:hAnsi="Times New Roman" w:cs="Times New Roman"/>
          <w:shd w:val="clear" w:color="auto" w:fill="FFFFFF"/>
        </w:rPr>
        <w:t>(1979). The</w:t>
      </w:r>
      <w:r w:rsidR="004F65FD" w:rsidRPr="007C56DF">
        <w:rPr>
          <w:rFonts w:ascii="Times New Roman" w:hAnsi="Times New Roman" w:cs="Times New Roman"/>
          <w:i/>
          <w:iCs/>
          <w:shd w:val="clear" w:color="auto" w:fill="FFFFFF"/>
        </w:rPr>
        <w:t xml:space="preserve"> ecology of human development: Experiments by nature and design</w:t>
      </w:r>
      <w:r w:rsidR="004F65FD" w:rsidRPr="007C56DF">
        <w:rPr>
          <w:rFonts w:ascii="Times New Roman" w:hAnsi="Times New Roman" w:cs="Times New Roman"/>
          <w:shd w:val="clear" w:color="auto" w:fill="FFFFFF"/>
        </w:rPr>
        <w:t>. Cambridge, MA:</w:t>
      </w:r>
      <w:r w:rsidR="004F65FD" w:rsidRPr="007C56DF">
        <w:rPr>
          <w:rStyle w:val="apple-converted-space"/>
          <w:rFonts w:ascii="Times New Roman" w:hAnsi="Times New Roman" w:cs="Times New Roman"/>
          <w:shd w:val="clear" w:color="auto" w:fill="FFFFFF"/>
        </w:rPr>
        <w:t> </w:t>
      </w:r>
      <w:r w:rsidR="004F65FD" w:rsidRPr="007C56DF">
        <w:rPr>
          <w:rFonts w:ascii="Times New Roman" w:hAnsi="Times New Roman" w:cs="Times New Roman"/>
          <w:shd w:val="clear" w:color="auto" w:fill="FFFFFF"/>
        </w:rPr>
        <w:t>Harvard University Press.</w:t>
      </w:r>
      <w:r w:rsidR="004F65FD" w:rsidRPr="007C56DF">
        <w:rPr>
          <w:rFonts w:ascii="Times New Roman" w:hAnsi="Times New Roman" w:cs="Times New Roman"/>
          <w:i/>
        </w:rPr>
        <w:t xml:space="preserve"> </w:t>
      </w:r>
    </w:p>
    <w:p w14:paraId="00736D63" w14:textId="77777777" w:rsidR="004F65FD" w:rsidRPr="007C56DF" w:rsidRDefault="004F65FD" w:rsidP="007C56DF">
      <w:pPr>
        <w:ind w:left="720" w:hanging="720"/>
        <w:rPr>
          <w:rFonts w:ascii="Times New Roman" w:hAnsi="Times New Roman" w:cs="Times New Roman"/>
          <w:color w:val="000000"/>
          <w:shd w:val="clear" w:color="auto" w:fill="FFFFFF"/>
        </w:rPr>
      </w:pPr>
      <w:r w:rsidRPr="007C56DF">
        <w:rPr>
          <w:rFonts w:ascii="Times New Roman" w:hAnsi="Times New Roman" w:cs="Times New Roman"/>
          <w:color w:val="000000"/>
          <w:shd w:val="clear" w:color="auto" w:fill="FFFFFF"/>
        </w:rPr>
        <w:t xml:space="preserve">Brownell, M. T., Steinbrecher, T., Kimerling, J., Park, Y., Bae, J., &amp; Benedict, A. (2014). Dimensions of teacher quality in general and special education. In P. T. Sindelar, E. McCray, M. T. Brownell, &amp; B. Lignugaris-Kraft, (Eds). </w:t>
      </w:r>
      <w:r w:rsidRPr="007C56DF">
        <w:rPr>
          <w:rFonts w:ascii="Times New Roman" w:hAnsi="Times New Roman" w:cs="Times New Roman"/>
          <w:i/>
          <w:color w:val="000000"/>
          <w:shd w:val="clear" w:color="auto" w:fill="FFFFFF"/>
        </w:rPr>
        <w:t xml:space="preserve">Handbook of Research on Special Education Teacher Preparation (pp. </w:t>
      </w:r>
      <w:r w:rsidRPr="007C56DF">
        <w:rPr>
          <w:rFonts w:ascii="Times New Roman" w:hAnsi="Times New Roman" w:cs="Times New Roman"/>
          <w:color w:val="000000"/>
          <w:shd w:val="clear" w:color="auto" w:fill="FFFFFF"/>
        </w:rPr>
        <w:t>423-444). Routledge: New York.</w:t>
      </w:r>
    </w:p>
    <w:p w14:paraId="67382B94" w14:textId="77777777" w:rsidR="004F65FD" w:rsidRPr="007C56DF" w:rsidRDefault="004F65FD" w:rsidP="007C56DF">
      <w:pPr>
        <w:ind w:left="720" w:hanging="720"/>
        <w:rPr>
          <w:rFonts w:ascii="Times New Roman" w:hAnsi="Times New Roman" w:cs="Times New Roman"/>
          <w:i/>
        </w:rPr>
      </w:pPr>
      <w:r w:rsidRPr="007C56DF">
        <w:rPr>
          <w:rFonts w:ascii="Times New Roman" w:hAnsi="Times New Roman" w:cs="Times New Roman"/>
        </w:rPr>
        <w:t xml:space="preserve">Brownell, M., Sindelar, P. T., Kiely, M T., &amp; Danielson, L. C. (2010).  Special education teacher quality and preparation:  Exposing foundations, constructing a new model. </w:t>
      </w:r>
      <w:r w:rsidRPr="007C56DF">
        <w:rPr>
          <w:rFonts w:ascii="Times New Roman" w:hAnsi="Times New Roman" w:cs="Times New Roman"/>
          <w:i/>
        </w:rPr>
        <w:t>Exceptional Children</w:t>
      </w:r>
      <w:r w:rsidRPr="007C56DF">
        <w:rPr>
          <w:rFonts w:ascii="Times New Roman" w:hAnsi="Times New Roman" w:cs="Times New Roman"/>
        </w:rPr>
        <w:t xml:space="preserve">, </w:t>
      </w:r>
      <w:r w:rsidRPr="007C56DF">
        <w:rPr>
          <w:rFonts w:ascii="Times New Roman" w:hAnsi="Times New Roman" w:cs="Times New Roman"/>
          <w:i/>
        </w:rPr>
        <w:t>76</w:t>
      </w:r>
      <w:r w:rsidRPr="007C56DF">
        <w:rPr>
          <w:rFonts w:ascii="Times New Roman" w:hAnsi="Times New Roman" w:cs="Times New Roman"/>
        </w:rPr>
        <w:t xml:space="preserve">, </w:t>
      </w:r>
      <w:r w:rsidRPr="007C56DF">
        <w:rPr>
          <w:rFonts w:ascii="Times New Roman" w:hAnsi="Times New Roman" w:cs="Times New Roman"/>
          <w:i/>
        </w:rPr>
        <w:t>357-377.</w:t>
      </w:r>
    </w:p>
    <w:p w14:paraId="70ECCAF2" w14:textId="77777777" w:rsidR="004F65FD" w:rsidRPr="007C56DF" w:rsidRDefault="004F65FD" w:rsidP="007C56DF">
      <w:pPr>
        <w:ind w:left="720" w:hanging="720"/>
        <w:rPr>
          <w:rFonts w:ascii="Times New Roman" w:hAnsi="Times New Roman" w:cs="Times New Roman"/>
        </w:rPr>
      </w:pPr>
      <w:r w:rsidRPr="007C56DF">
        <w:rPr>
          <w:rFonts w:ascii="Times New Roman" w:hAnsi="Times New Roman" w:cs="Times New Roman"/>
        </w:rPr>
        <w:t xml:space="preserve">Carr, E. G., Horner, R. H., Turnbull, A. P., Marquis, J. G., McLaughlin, D. M., McAtee, M. L., Smith, C. E., Ryan, K. A., Ruef, M. B., Doolabh, A., &amp; Braddock, D. (1999). Positive behavior support as an approach for dealing with problem behavior in people with developmental disabilities: A research synthesis. Washington, DC: AAMR. </w:t>
      </w:r>
    </w:p>
    <w:p w14:paraId="473286B9" w14:textId="77777777" w:rsidR="004F65FD" w:rsidRPr="007C56DF" w:rsidRDefault="004F65FD" w:rsidP="007C56DF">
      <w:pPr>
        <w:ind w:left="720" w:hanging="720"/>
        <w:rPr>
          <w:rFonts w:ascii="Times New Roman" w:hAnsi="Times New Roman" w:cs="Times New Roman"/>
        </w:rPr>
      </w:pPr>
      <w:r w:rsidRPr="007C56DF">
        <w:rPr>
          <w:rFonts w:ascii="Times New Roman" w:hAnsi="Times New Roman" w:cs="Times New Roman"/>
        </w:rPr>
        <w:t>Center for Public Education (2014).  U.S. Schools are not flatlining!  DOI:  http://blog.centerforpubliceducation.org/2014/02/07/u-s-schools-are-not-flatlining/.</w:t>
      </w:r>
    </w:p>
    <w:p w14:paraId="786734C1" w14:textId="27A95BCD" w:rsidR="004F65FD" w:rsidRPr="007C56DF" w:rsidRDefault="004F65FD" w:rsidP="007C56DF">
      <w:pPr>
        <w:ind w:left="720" w:hanging="720"/>
        <w:rPr>
          <w:rFonts w:ascii="Times New Roman" w:hAnsi="Times New Roman" w:cs="Times New Roman"/>
        </w:rPr>
      </w:pPr>
      <w:r w:rsidRPr="007C56DF">
        <w:rPr>
          <w:rFonts w:ascii="Times New Roman" w:hAnsi="Times New Roman" w:cs="Times New Roman"/>
        </w:rPr>
        <w:t xml:space="preserve">Clotfelter, C. T., Glennie, E. J., Ladd, H. F., &amp; Vigdor, J. L. (2008). Teacher bonuses and teacher retention in low-performing schools evidence from the north </w:t>
      </w:r>
      <w:r w:rsidR="009D7597" w:rsidRPr="007C56DF">
        <w:rPr>
          <w:rFonts w:ascii="Times New Roman" w:hAnsi="Times New Roman" w:cs="Times New Roman"/>
        </w:rPr>
        <w:t>Carolina</w:t>
      </w:r>
      <w:r w:rsidRPr="007C56DF">
        <w:rPr>
          <w:rFonts w:ascii="Times New Roman" w:hAnsi="Times New Roman" w:cs="Times New Roman"/>
        </w:rPr>
        <w:t xml:space="preserve"> $1,800 teacher bonus program. </w:t>
      </w:r>
      <w:r w:rsidRPr="007C56DF">
        <w:rPr>
          <w:rFonts w:ascii="Times New Roman" w:hAnsi="Times New Roman" w:cs="Times New Roman"/>
          <w:i/>
          <w:iCs/>
        </w:rPr>
        <w:t>Public Finance Review</w:t>
      </w:r>
      <w:r w:rsidRPr="007C56DF">
        <w:rPr>
          <w:rFonts w:ascii="Times New Roman" w:hAnsi="Times New Roman" w:cs="Times New Roman"/>
        </w:rPr>
        <w:t>, </w:t>
      </w:r>
      <w:r w:rsidRPr="007C56DF">
        <w:rPr>
          <w:rFonts w:ascii="Times New Roman" w:hAnsi="Times New Roman" w:cs="Times New Roman"/>
          <w:i/>
          <w:iCs/>
        </w:rPr>
        <w:t>36</w:t>
      </w:r>
      <w:r w:rsidRPr="007C56DF">
        <w:rPr>
          <w:rFonts w:ascii="Times New Roman" w:hAnsi="Times New Roman" w:cs="Times New Roman"/>
        </w:rPr>
        <w:t xml:space="preserve">(1), 63-87.Cochran-Smith, M., Gleeson, A. M., </w:t>
      </w:r>
      <w:r w:rsidRPr="007C56DF">
        <w:rPr>
          <w:rFonts w:ascii="Times New Roman" w:hAnsi="Times New Roman" w:cs="Times New Roman"/>
        </w:rPr>
        <w:lastRenderedPageBreak/>
        <w:t xml:space="preserve">Mitchell, K. (2010).  Teacher education for social justice:  What’s pupil learning got to do with it?  </w:t>
      </w:r>
      <w:r w:rsidRPr="007C56DF">
        <w:rPr>
          <w:rFonts w:ascii="Times New Roman" w:hAnsi="Times New Roman" w:cs="Times New Roman"/>
          <w:i/>
        </w:rPr>
        <w:t>Berkeley Review of Education</w:t>
      </w:r>
      <w:r w:rsidRPr="007C56DF">
        <w:rPr>
          <w:rFonts w:ascii="Times New Roman" w:hAnsi="Times New Roman" w:cs="Times New Roman"/>
        </w:rPr>
        <w:t xml:space="preserve">, 1(1). Retrieved from: </w:t>
      </w:r>
      <w:r w:rsidRPr="007C56DF">
        <w:rPr>
          <w:rFonts w:ascii="Times New Roman" w:hAnsi="Times New Roman" w:cs="Times New Roman"/>
          <w:u w:val="single"/>
        </w:rPr>
        <w:t>http://escholarship.org/uc/item/35v7b2rv</w:t>
      </w:r>
      <w:r w:rsidRPr="007C56DF">
        <w:rPr>
          <w:rFonts w:ascii="Times New Roman" w:hAnsi="Times New Roman" w:cs="Times New Roman"/>
        </w:rPr>
        <w:t>.</w:t>
      </w:r>
    </w:p>
    <w:p w14:paraId="2A5FD03E" w14:textId="77777777" w:rsidR="004F65FD" w:rsidRPr="007C56DF" w:rsidRDefault="004F65FD" w:rsidP="007C56DF">
      <w:pPr>
        <w:ind w:left="720" w:hanging="720"/>
        <w:rPr>
          <w:rFonts w:ascii="Times New Roman" w:hAnsi="Times New Roman" w:cs="Times New Roman"/>
        </w:rPr>
      </w:pPr>
      <w:r w:rsidRPr="007C56DF">
        <w:rPr>
          <w:rFonts w:ascii="Times New Roman" w:hAnsi="Times New Roman" w:cs="Times New Roman"/>
        </w:rPr>
        <w:t xml:space="preserve">Cochran-Smith, M., McQuillan, P., Mitchell, K., Terrell, D. G., Barnatt, J., D’Souza, L., &amp; Gleeson, A. M. (2012). A longitudinal study of teaching practice and early career decisions: A cautionary tale.  </w:t>
      </w:r>
      <w:r w:rsidRPr="007C56DF">
        <w:rPr>
          <w:rFonts w:ascii="Times New Roman" w:hAnsi="Times New Roman" w:cs="Times New Roman"/>
          <w:i/>
          <w:iCs/>
        </w:rPr>
        <w:t>American Educational Research Journal</w:t>
      </w:r>
      <w:r w:rsidRPr="007C56DF">
        <w:rPr>
          <w:rFonts w:ascii="Times New Roman" w:hAnsi="Times New Roman" w:cs="Times New Roman"/>
        </w:rPr>
        <w:t>, </w:t>
      </w:r>
      <w:r w:rsidRPr="007C56DF">
        <w:rPr>
          <w:rFonts w:ascii="Times New Roman" w:hAnsi="Times New Roman" w:cs="Times New Roman"/>
          <w:i/>
          <w:iCs/>
        </w:rPr>
        <w:t>49</w:t>
      </w:r>
      <w:r w:rsidRPr="007C56DF">
        <w:rPr>
          <w:rFonts w:ascii="Times New Roman" w:hAnsi="Times New Roman" w:cs="Times New Roman"/>
        </w:rPr>
        <w:t>(5), 844-880.</w:t>
      </w:r>
    </w:p>
    <w:p w14:paraId="38C4A561" w14:textId="77777777" w:rsidR="004F65FD" w:rsidRPr="007C56DF" w:rsidRDefault="004F65FD" w:rsidP="007C56DF">
      <w:pPr>
        <w:ind w:left="720" w:hanging="720"/>
        <w:rPr>
          <w:rFonts w:ascii="Times New Roman" w:hAnsi="Times New Roman" w:cs="Times New Roman"/>
        </w:rPr>
      </w:pPr>
      <w:r w:rsidRPr="007C56DF">
        <w:rPr>
          <w:rFonts w:ascii="Times New Roman" w:hAnsi="Times New Roman" w:cs="Times New Roman"/>
        </w:rPr>
        <w:t xml:space="preserve">Cornell, D. G., &amp; Mayer, M. J. (2010). Why do school order and safety matter? </w:t>
      </w:r>
      <w:r w:rsidRPr="007C56DF">
        <w:rPr>
          <w:rFonts w:ascii="Times New Roman" w:hAnsi="Times New Roman" w:cs="Times New Roman"/>
          <w:i/>
          <w:iCs/>
        </w:rPr>
        <w:t>Educational Researcher</w:t>
      </w:r>
      <w:r w:rsidRPr="007C56DF">
        <w:rPr>
          <w:rFonts w:ascii="Times New Roman" w:hAnsi="Times New Roman" w:cs="Times New Roman"/>
        </w:rPr>
        <w:t>, </w:t>
      </w:r>
      <w:r w:rsidRPr="007C56DF">
        <w:rPr>
          <w:rFonts w:ascii="Times New Roman" w:hAnsi="Times New Roman" w:cs="Times New Roman"/>
          <w:i/>
          <w:iCs/>
        </w:rPr>
        <w:t>39</w:t>
      </w:r>
      <w:r w:rsidRPr="007C56DF">
        <w:rPr>
          <w:rFonts w:ascii="Times New Roman" w:hAnsi="Times New Roman" w:cs="Times New Roman"/>
        </w:rPr>
        <w:t>(1), 7-15.</w:t>
      </w:r>
    </w:p>
    <w:p w14:paraId="6B093F52" w14:textId="77777777" w:rsidR="004F65FD" w:rsidRPr="007C56DF" w:rsidRDefault="004F65FD" w:rsidP="007C56DF">
      <w:pPr>
        <w:ind w:left="720" w:hanging="720"/>
        <w:rPr>
          <w:rFonts w:ascii="Times New Roman" w:hAnsi="Times New Roman" w:cs="Times New Roman"/>
        </w:rPr>
      </w:pPr>
      <w:r w:rsidRPr="007C56DF">
        <w:rPr>
          <w:rFonts w:ascii="Times New Roman" w:hAnsi="Times New Roman" w:cs="Times New Roman"/>
        </w:rPr>
        <w:t xml:space="preserve">Council for the Accreditation of Educator Preparation Commission on Standards and Performance Report. (2013). </w:t>
      </w:r>
      <w:r w:rsidRPr="007C56DF">
        <w:rPr>
          <w:rFonts w:ascii="Times New Roman" w:hAnsi="Times New Roman" w:cs="Times New Roman"/>
          <w:i/>
          <w:iCs/>
        </w:rPr>
        <w:t>CAEP accreditation standards and evidence:  Aspirations for educator preparation</w:t>
      </w:r>
      <w:r w:rsidRPr="007C56DF">
        <w:rPr>
          <w:rFonts w:ascii="Times New Roman" w:hAnsi="Times New Roman" w:cs="Times New Roman"/>
        </w:rPr>
        <w:t>. Washington, DC: Council for the Accreditation of Educator Preparation.</w:t>
      </w:r>
    </w:p>
    <w:p w14:paraId="5CCF18C2" w14:textId="1CCED902" w:rsidR="004F65FD" w:rsidRPr="007C56DF" w:rsidRDefault="004F65FD" w:rsidP="007C56DF">
      <w:pPr>
        <w:ind w:left="720" w:hanging="720"/>
        <w:rPr>
          <w:rFonts w:ascii="Times New Roman" w:hAnsi="Times New Roman" w:cs="Times New Roman"/>
        </w:rPr>
      </w:pPr>
      <w:r w:rsidRPr="007C56DF">
        <w:rPr>
          <w:rFonts w:ascii="Times New Roman" w:hAnsi="Times New Roman" w:cs="Times New Roman"/>
        </w:rPr>
        <w:t xml:space="preserve">Council of Chief State School Officers (2011).Interstate teacher assessment and support consortium (InTASC) model core teaching standards: A resource for state dialogue. Washington, DC: Author. Retrieved from </w:t>
      </w:r>
      <w:r w:rsidRPr="00E526C2">
        <w:rPr>
          <w:rFonts w:ascii="Times New Roman" w:hAnsi="Times New Roman" w:cs="Times New Roman"/>
        </w:rPr>
        <w:t>http://www.ccsso</w:t>
      </w:r>
      <w:r w:rsidRPr="007C56DF">
        <w:rPr>
          <w:rFonts w:ascii="Times New Roman" w:hAnsi="Times New Roman" w:cs="Times New Roman"/>
        </w:rPr>
        <w:t>.</w:t>
      </w:r>
    </w:p>
    <w:p w14:paraId="0FF5C0F1" w14:textId="77777777" w:rsidR="004F65FD" w:rsidRPr="007C56DF" w:rsidRDefault="004F65FD" w:rsidP="007C56DF">
      <w:pPr>
        <w:ind w:left="720" w:hanging="720"/>
        <w:rPr>
          <w:rFonts w:ascii="Times New Roman" w:hAnsi="Times New Roman" w:cs="Times New Roman"/>
          <w:noProof/>
        </w:rPr>
      </w:pPr>
      <w:r w:rsidRPr="007C56DF">
        <w:rPr>
          <w:rFonts w:ascii="Times New Roman" w:hAnsi="Times New Roman" w:cs="Times New Roman"/>
          <w:noProof/>
        </w:rPr>
        <w:t xml:space="preserve">Cusumano, D. L., Algozzine, K. &amp; Algozzine, B. (2014). Multi-tiered system of supports for effective inclusion in elementary schools. In J. McLeskey, N. L. Waldron, F. Spooner, &amp; B. Algozzine (eds.), </w:t>
      </w:r>
      <w:r w:rsidRPr="007C56DF">
        <w:rPr>
          <w:rFonts w:ascii="Times New Roman" w:hAnsi="Times New Roman" w:cs="Times New Roman"/>
          <w:i/>
          <w:noProof/>
        </w:rPr>
        <w:t>Handbook of Effective Inclusive Schools:  Research and Practice</w:t>
      </w:r>
      <w:r w:rsidRPr="007C56DF">
        <w:rPr>
          <w:rFonts w:ascii="Times New Roman" w:hAnsi="Times New Roman" w:cs="Times New Roman"/>
          <w:noProof/>
        </w:rPr>
        <w:t xml:space="preserve"> (pp. 197-209).  New York:  Routledge.</w:t>
      </w:r>
    </w:p>
    <w:p w14:paraId="61F797B2" w14:textId="7C045114" w:rsidR="004F65FD" w:rsidRPr="007C56DF" w:rsidRDefault="004F65FD" w:rsidP="007C56DF">
      <w:pPr>
        <w:ind w:left="720" w:hanging="720"/>
        <w:rPr>
          <w:rFonts w:ascii="Times New Roman" w:hAnsi="Times New Roman" w:cs="Times New Roman"/>
        </w:rPr>
      </w:pPr>
      <w:r w:rsidRPr="007C56DF">
        <w:rPr>
          <w:rFonts w:ascii="Times New Roman" w:hAnsi="Times New Roman" w:cs="Times New Roman"/>
        </w:rPr>
        <w:t xml:space="preserve">Danielson, C. (2013).  </w:t>
      </w:r>
      <w:r w:rsidRPr="007C56DF">
        <w:rPr>
          <w:rFonts w:ascii="Times New Roman" w:hAnsi="Times New Roman" w:cs="Times New Roman"/>
          <w:i/>
        </w:rPr>
        <w:t>The Framework for Teaching Evaluation Instrument</w:t>
      </w:r>
      <w:r w:rsidRPr="007C56DF">
        <w:rPr>
          <w:rFonts w:ascii="Times New Roman" w:hAnsi="Times New Roman" w:cs="Times New Roman"/>
        </w:rPr>
        <w:t>.  Princeton, NJ:  The Danielson Group.</w:t>
      </w:r>
    </w:p>
    <w:p w14:paraId="72835FB4" w14:textId="77777777" w:rsidR="004F65FD" w:rsidRPr="007C56DF" w:rsidRDefault="004F65FD" w:rsidP="007C56DF">
      <w:pPr>
        <w:ind w:left="720" w:hanging="720"/>
        <w:rPr>
          <w:rFonts w:ascii="Times New Roman" w:hAnsi="Times New Roman" w:cs="Times New Roman"/>
          <w:noProof/>
        </w:rPr>
      </w:pPr>
      <w:bookmarkStart w:id="2" w:name="_ENREF_4"/>
      <w:r w:rsidRPr="007C56DF">
        <w:rPr>
          <w:rFonts w:ascii="Times New Roman" w:hAnsi="Times New Roman" w:cs="Times New Roman"/>
          <w:noProof/>
        </w:rPr>
        <w:t xml:space="preserve">Darling-Hammond, L. &amp; Wei, C. R. (2009). Teacher preparation and teacher learning. In G. Sykes, Schneider, B. &amp; Plank, D. N. with Ford, T. G. (Ed.), </w:t>
      </w:r>
      <w:r w:rsidRPr="007C56DF">
        <w:rPr>
          <w:rFonts w:ascii="Times New Roman" w:hAnsi="Times New Roman" w:cs="Times New Roman"/>
          <w:i/>
          <w:noProof/>
        </w:rPr>
        <w:t>Handbook of Education Policy Research</w:t>
      </w:r>
      <w:r w:rsidRPr="007C56DF">
        <w:rPr>
          <w:rFonts w:ascii="Times New Roman" w:hAnsi="Times New Roman" w:cs="Times New Roman"/>
          <w:noProof/>
        </w:rPr>
        <w:t>. New York: Routledge.</w:t>
      </w:r>
      <w:bookmarkEnd w:id="2"/>
    </w:p>
    <w:p w14:paraId="34FB66A4" w14:textId="77777777" w:rsidR="004F65FD" w:rsidRPr="007C56DF" w:rsidRDefault="004F65FD" w:rsidP="007C56DF">
      <w:pPr>
        <w:ind w:left="720" w:hanging="720"/>
        <w:rPr>
          <w:rFonts w:ascii="Times New Roman" w:hAnsi="Times New Roman" w:cs="Times New Roman"/>
          <w:noProof/>
        </w:rPr>
      </w:pPr>
      <w:bookmarkStart w:id="3" w:name="_ENREF_3"/>
      <w:r w:rsidRPr="007C56DF">
        <w:rPr>
          <w:rFonts w:ascii="Times New Roman" w:hAnsi="Times New Roman" w:cs="Times New Roman"/>
          <w:noProof/>
        </w:rPr>
        <w:lastRenderedPageBreak/>
        <w:t xml:space="preserve">Darling-Hammond, L. (2010). Teacher education and the American future. </w:t>
      </w:r>
      <w:r w:rsidRPr="007C56DF">
        <w:rPr>
          <w:rFonts w:ascii="Times New Roman" w:hAnsi="Times New Roman" w:cs="Times New Roman"/>
          <w:i/>
          <w:noProof/>
        </w:rPr>
        <w:t xml:space="preserve">Journal of Teacher Education, 61 </w:t>
      </w:r>
      <w:r w:rsidRPr="007C56DF">
        <w:rPr>
          <w:rFonts w:ascii="Times New Roman" w:hAnsi="Times New Roman" w:cs="Times New Roman"/>
          <w:noProof/>
        </w:rPr>
        <w:t xml:space="preserve">(1), 35-47. </w:t>
      </w:r>
      <w:bookmarkEnd w:id="3"/>
    </w:p>
    <w:p w14:paraId="2B9D6AEF" w14:textId="77777777" w:rsidR="004F65FD" w:rsidRPr="007C56DF" w:rsidRDefault="004F65FD" w:rsidP="007C56DF">
      <w:pPr>
        <w:shd w:val="clear" w:color="auto" w:fill="FFFFFF" w:themeFill="background1"/>
        <w:ind w:left="720" w:hanging="720"/>
        <w:rPr>
          <w:rFonts w:ascii="Times New Roman" w:hAnsi="Times New Roman" w:cs="Times New Roman"/>
          <w:color w:val="222222"/>
          <w:shd w:val="clear" w:color="auto" w:fill="FFFFFF"/>
        </w:rPr>
      </w:pPr>
      <w:r w:rsidRPr="007C56DF">
        <w:rPr>
          <w:rFonts w:ascii="Times New Roman" w:hAnsi="Times New Roman" w:cs="Times New Roman"/>
          <w:color w:val="222222"/>
          <w:shd w:val="clear" w:color="auto" w:fill="FFFFFF"/>
        </w:rPr>
        <w:t>Darling-Hammond, L. (2012). </w:t>
      </w:r>
      <w:r w:rsidRPr="007C56DF">
        <w:rPr>
          <w:rFonts w:ascii="Times New Roman" w:hAnsi="Times New Roman" w:cs="Times New Roman"/>
          <w:i/>
          <w:iCs/>
          <w:color w:val="222222"/>
          <w:shd w:val="clear" w:color="auto" w:fill="FFFFFF"/>
        </w:rPr>
        <w:t>Powerful teacher education: Lessons from exemplary programs</w:t>
      </w:r>
      <w:r w:rsidRPr="007C56DF">
        <w:rPr>
          <w:rFonts w:ascii="Times New Roman" w:hAnsi="Times New Roman" w:cs="Times New Roman"/>
          <w:color w:val="222222"/>
          <w:shd w:val="clear" w:color="auto" w:fill="FFFFFF"/>
        </w:rPr>
        <w:t>. John Wiley &amp; Sons.</w:t>
      </w:r>
    </w:p>
    <w:p w14:paraId="511C25FE" w14:textId="77777777" w:rsidR="004F65FD" w:rsidRPr="007C56DF" w:rsidRDefault="004F65FD" w:rsidP="007C56DF">
      <w:pPr>
        <w:ind w:left="720" w:hanging="720"/>
        <w:rPr>
          <w:rFonts w:ascii="Times New Roman" w:hAnsi="Times New Roman" w:cs="Times New Roman"/>
        </w:rPr>
      </w:pPr>
      <w:r w:rsidRPr="007C56DF">
        <w:rPr>
          <w:rFonts w:ascii="Times New Roman" w:hAnsi="Times New Roman" w:cs="Times New Roman"/>
        </w:rPr>
        <w:t xml:space="preserve">Darling-Hammond, L. (2014).  One piece of the whole:  Teacher evaluation as part of a comprehensive system for teaching and learning.  </w:t>
      </w:r>
      <w:r w:rsidRPr="007C56DF">
        <w:rPr>
          <w:rFonts w:ascii="Times New Roman" w:hAnsi="Times New Roman" w:cs="Times New Roman"/>
          <w:i/>
        </w:rPr>
        <w:t>American Educator</w:t>
      </w:r>
      <w:r w:rsidRPr="007C56DF">
        <w:rPr>
          <w:rFonts w:ascii="Times New Roman" w:hAnsi="Times New Roman" w:cs="Times New Roman"/>
        </w:rPr>
        <w:t xml:space="preserve">, </w:t>
      </w:r>
    </w:p>
    <w:p w14:paraId="3FEA72F1" w14:textId="77777777" w:rsidR="004F65FD" w:rsidRPr="007C56DF" w:rsidRDefault="004F65FD" w:rsidP="007C56DF">
      <w:pPr>
        <w:ind w:left="720" w:hanging="720"/>
        <w:rPr>
          <w:rFonts w:ascii="Times New Roman" w:hAnsi="Times New Roman" w:cs="Times New Roman"/>
          <w:color w:val="222222"/>
          <w:sz w:val="20"/>
          <w:szCs w:val="20"/>
          <w:shd w:val="clear" w:color="auto" w:fill="FFFFFF"/>
        </w:rPr>
      </w:pPr>
      <w:r w:rsidRPr="007C56DF">
        <w:rPr>
          <w:rFonts w:ascii="Times New Roman" w:hAnsi="Times New Roman" w:cs="Times New Roman"/>
          <w:color w:val="222222"/>
          <w:szCs w:val="20"/>
          <w:shd w:val="clear" w:color="auto" w:fill="FFFFFF"/>
        </w:rPr>
        <w:t>Darling-Hammond, L., &amp; Lieberman, A. (Eds.). (2013).</w:t>
      </w:r>
      <w:r w:rsidRPr="007C56DF">
        <w:rPr>
          <w:rStyle w:val="apple-converted-space"/>
          <w:rFonts w:ascii="Times New Roman" w:hAnsi="Times New Roman" w:cs="Times New Roman"/>
          <w:color w:val="222222"/>
          <w:szCs w:val="20"/>
          <w:shd w:val="clear" w:color="auto" w:fill="FFFFFF"/>
        </w:rPr>
        <w:t> </w:t>
      </w:r>
      <w:r w:rsidRPr="007C56DF">
        <w:rPr>
          <w:rFonts w:ascii="Times New Roman" w:hAnsi="Times New Roman" w:cs="Times New Roman"/>
          <w:i/>
          <w:iCs/>
          <w:color w:val="222222"/>
          <w:szCs w:val="20"/>
          <w:shd w:val="clear" w:color="auto" w:fill="FFFFFF"/>
        </w:rPr>
        <w:t>Teacher education around the world: Changing policies and practices</w:t>
      </w:r>
      <w:r w:rsidRPr="007C56DF">
        <w:rPr>
          <w:rFonts w:ascii="Times New Roman" w:hAnsi="Times New Roman" w:cs="Times New Roman"/>
          <w:color w:val="222222"/>
          <w:szCs w:val="20"/>
          <w:shd w:val="clear" w:color="auto" w:fill="FFFFFF"/>
        </w:rPr>
        <w:t>. Routledge</w:t>
      </w:r>
      <w:r w:rsidRPr="007C56DF">
        <w:rPr>
          <w:rFonts w:ascii="Times New Roman" w:hAnsi="Times New Roman" w:cs="Times New Roman"/>
          <w:color w:val="222222"/>
          <w:sz w:val="20"/>
          <w:szCs w:val="20"/>
          <w:shd w:val="clear" w:color="auto" w:fill="FFFFFF"/>
        </w:rPr>
        <w:t>.</w:t>
      </w:r>
    </w:p>
    <w:p w14:paraId="20485015" w14:textId="77777777" w:rsidR="004F65FD" w:rsidRPr="007C56DF" w:rsidRDefault="004F65FD" w:rsidP="007C56DF">
      <w:pPr>
        <w:ind w:left="720" w:hanging="720"/>
        <w:rPr>
          <w:rFonts w:ascii="Times New Roman" w:hAnsi="Times New Roman" w:cs="Times New Roman"/>
        </w:rPr>
      </w:pPr>
      <w:r w:rsidRPr="007C56DF">
        <w:rPr>
          <w:rFonts w:ascii="Times New Roman" w:hAnsi="Times New Roman" w:cs="Times New Roman"/>
        </w:rPr>
        <w:t xml:space="preserve">Davis, B. &amp; Sumara, D. (2006).  </w:t>
      </w:r>
      <w:r w:rsidRPr="007C56DF">
        <w:rPr>
          <w:rFonts w:ascii="Times New Roman" w:hAnsi="Times New Roman" w:cs="Times New Roman"/>
          <w:i/>
        </w:rPr>
        <w:t>Complexity and education:  Inquiries into learning, teaching, and research.</w:t>
      </w:r>
      <w:r w:rsidRPr="007C56DF">
        <w:rPr>
          <w:rFonts w:ascii="Times New Roman" w:hAnsi="Times New Roman" w:cs="Times New Roman"/>
        </w:rPr>
        <w:t xml:space="preserve">  Mahwah, NJ:  Lawrence Erlbaum Associates.</w:t>
      </w:r>
    </w:p>
    <w:p w14:paraId="113508E1" w14:textId="77777777" w:rsidR="004F65FD" w:rsidRPr="007C56DF" w:rsidRDefault="004F65FD" w:rsidP="007C56DF">
      <w:pPr>
        <w:ind w:left="720" w:hanging="720"/>
        <w:rPr>
          <w:rFonts w:ascii="Times New Roman" w:hAnsi="Times New Roman" w:cs="Times New Roman"/>
        </w:rPr>
      </w:pPr>
      <w:r w:rsidRPr="007C56DF">
        <w:rPr>
          <w:rFonts w:ascii="Times New Roman" w:hAnsi="Times New Roman" w:cs="Times New Roman"/>
        </w:rPr>
        <w:t xml:space="preserve">Dunlap, G., Kincaid, D. &amp; Jackson, D. (2013).  Positive behavior support:  Foundations, systems, and quality of life. In M. Wehmeyer (Ed.), </w:t>
      </w:r>
      <w:r w:rsidRPr="007C56DF">
        <w:rPr>
          <w:rFonts w:ascii="Times New Roman" w:hAnsi="Times New Roman" w:cs="Times New Roman"/>
          <w:i/>
        </w:rPr>
        <w:t>The Oxford Handbook of Positive Psychology and Disability</w:t>
      </w:r>
      <w:r w:rsidRPr="007C56DF">
        <w:rPr>
          <w:rFonts w:ascii="Times New Roman" w:hAnsi="Times New Roman" w:cs="Times New Roman"/>
        </w:rPr>
        <w:t xml:space="preserve"> (pp. 3012-317).  New York:  Oxford University Press.  </w:t>
      </w:r>
    </w:p>
    <w:p w14:paraId="3AA24BA6" w14:textId="77777777" w:rsidR="004F65FD" w:rsidRPr="007C56DF" w:rsidRDefault="004F65FD" w:rsidP="007C56DF">
      <w:pPr>
        <w:ind w:left="720" w:hanging="720"/>
        <w:rPr>
          <w:rFonts w:ascii="Times New Roman" w:hAnsi="Times New Roman" w:cs="Times New Roman"/>
        </w:rPr>
      </w:pPr>
      <w:bookmarkStart w:id="4" w:name="_ENREF_1"/>
      <w:r w:rsidRPr="007C56DF">
        <w:rPr>
          <w:rFonts w:ascii="Times New Roman" w:hAnsi="Times New Roman" w:cs="Times New Roman"/>
        </w:rPr>
        <w:t xml:space="preserve">Fixsen, D., Blase, K. &amp; Van Dyke, M. (2012). </w:t>
      </w:r>
      <w:r w:rsidRPr="007C56DF">
        <w:rPr>
          <w:rFonts w:ascii="Times New Roman" w:hAnsi="Times New Roman" w:cs="Times New Roman"/>
          <w:i/>
        </w:rPr>
        <w:t xml:space="preserve">From Ghost Systems to Host Systems via Transformation Zones.  </w:t>
      </w:r>
      <w:r w:rsidRPr="007C56DF">
        <w:rPr>
          <w:rFonts w:ascii="Times New Roman" w:hAnsi="Times New Roman" w:cs="Times New Roman"/>
        </w:rPr>
        <w:t xml:space="preserve">  Washington, DC:  U.S. Department of Education, Office of Vocational and Adult Education, Adult Education Great Cities Summit.</w:t>
      </w:r>
    </w:p>
    <w:p w14:paraId="7F3CE3B6" w14:textId="77777777" w:rsidR="004F65FD" w:rsidRPr="007C56DF" w:rsidRDefault="004F65FD" w:rsidP="007C56DF">
      <w:pPr>
        <w:ind w:left="720" w:hanging="720"/>
        <w:rPr>
          <w:rFonts w:ascii="Times New Roman" w:eastAsia="Times New Roman" w:hAnsi="Times New Roman" w:cs="Times New Roman"/>
          <w:color w:val="333333"/>
        </w:rPr>
      </w:pPr>
      <w:r w:rsidRPr="007C56DF">
        <w:rPr>
          <w:rFonts w:ascii="Times New Roman" w:eastAsia="Times New Roman" w:hAnsi="Times New Roman" w:cs="Times New Roman"/>
          <w:color w:val="333333"/>
        </w:rPr>
        <w:t>Fixsen, D., Blase, K., Metz, A., &amp; Van Dyke, M. (2013). Statewide implementation of evidence-based programs. </w:t>
      </w:r>
      <w:r w:rsidRPr="007C56DF">
        <w:rPr>
          <w:rFonts w:ascii="Times New Roman" w:eastAsia="Times New Roman" w:hAnsi="Times New Roman" w:cs="Times New Roman"/>
          <w:i/>
          <w:iCs/>
          <w:color w:val="333333"/>
        </w:rPr>
        <w:t>Exceptional Children</w:t>
      </w:r>
      <w:r w:rsidRPr="007C56DF">
        <w:rPr>
          <w:rFonts w:ascii="Times New Roman" w:eastAsia="Times New Roman" w:hAnsi="Times New Roman" w:cs="Times New Roman"/>
          <w:color w:val="333333"/>
        </w:rPr>
        <w:t>, </w:t>
      </w:r>
      <w:r w:rsidRPr="007C56DF">
        <w:rPr>
          <w:rFonts w:ascii="Times New Roman" w:eastAsia="Times New Roman" w:hAnsi="Times New Roman" w:cs="Times New Roman"/>
          <w:i/>
          <w:iCs/>
          <w:color w:val="333333"/>
        </w:rPr>
        <w:t>79</w:t>
      </w:r>
      <w:r w:rsidRPr="007C56DF">
        <w:rPr>
          <w:rFonts w:ascii="Times New Roman" w:eastAsia="Times New Roman" w:hAnsi="Times New Roman" w:cs="Times New Roman"/>
          <w:color w:val="333333"/>
        </w:rPr>
        <w:t>(2), 213-230.</w:t>
      </w:r>
    </w:p>
    <w:p w14:paraId="5DF8B719" w14:textId="77777777" w:rsidR="004F65FD" w:rsidRPr="007C56DF" w:rsidRDefault="004F65FD" w:rsidP="007C56DF">
      <w:pPr>
        <w:ind w:left="720" w:hanging="720"/>
        <w:rPr>
          <w:rFonts w:ascii="Times New Roman" w:hAnsi="Times New Roman" w:cs="Times New Roman"/>
        </w:rPr>
      </w:pPr>
      <w:r w:rsidRPr="007C56DF">
        <w:rPr>
          <w:rFonts w:ascii="Times New Roman" w:hAnsi="Times New Roman" w:cs="Times New Roman"/>
        </w:rPr>
        <w:t xml:space="preserve">Fixsen, D., Naoom, S. F., Blase, K. A., Friedman, R. M., &amp; Wallace, F. (2005).  </w:t>
      </w:r>
      <w:r w:rsidRPr="007C56DF">
        <w:rPr>
          <w:rFonts w:ascii="Times New Roman" w:hAnsi="Times New Roman" w:cs="Times New Roman"/>
          <w:i/>
        </w:rPr>
        <w:t>Implementation research:  A synthesis of the literature</w:t>
      </w:r>
      <w:r w:rsidRPr="007C56DF">
        <w:rPr>
          <w:rFonts w:ascii="Times New Roman" w:hAnsi="Times New Roman" w:cs="Times New Roman"/>
        </w:rPr>
        <w:t xml:space="preserve">.  Tampa, FL:  University of South Florida, Louis de la Parte Florida Mental Health Institute, The National Implementation Research Network.  </w:t>
      </w:r>
    </w:p>
    <w:p w14:paraId="29952F32" w14:textId="60B08144" w:rsidR="004F65FD" w:rsidRPr="007C56DF" w:rsidRDefault="004F65FD" w:rsidP="007C56DF">
      <w:pPr>
        <w:ind w:left="720" w:hanging="720"/>
        <w:rPr>
          <w:rFonts w:ascii="Times New Roman" w:eastAsia="Times New Roman" w:hAnsi="Times New Roman" w:cs="Times New Roman"/>
          <w:spacing w:val="0"/>
        </w:rPr>
      </w:pPr>
      <w:r w:rsidRPr="007C56DF">
        <w:rPr>
          <w:rFonts w:ascii="Times New Roman" w:eastAsia="Times New Roman" w:hAnsi="Times New Roman" w:cs="Times New Roman"/>
          <w:spacing w:val="0"/>
        </w:rPr>
        <w:t xml:space="preserve">Gibson, D. (2000). Complexity theory as a leadership framework. </w:t>
      </w:r>
      <w:r w:rsidRPr="007C56DF">
        <w:rPr>
          <w:rFonts w:ascii="Times New Roman" w:eastAsia="Times New Roman" w:hAnsi="Times New Roman" w:cs="Times New Roman"/>
          <w:i/>
          <w:spacing w:val="0"/>
        </w:rPr>
        <w:t xml:space="preserve">Montpelier, VT: VISMT </w:t>
      </w:r>
      <w:r w:rsidRPr="00E526C2">
        <w:rPr>
          <w:rFonts w:ascii="Times New Roman" w:eastAsia="Times New Roman" w:hAnsi="Times New Roman" w:cs="Times New Roman"/>
          <w:i/>
          <w:color w:val="000000" w:themeColor="text1"/>
          <w:spacing w:val="0"/>
        </w:rPr>
        <w:t xml:space="preserve">Available: </w:t>
      </w:r>
      <w:r w:rsidRPr="00E526C2">
        <w:rPr>
          <w:rFonts w:ascii="Times New Roman" w:eastAsia="Times New Roman" w:hAnsi="Times New Roman" w:cs="Times New Roman"/>
          <w:i/>
          <w:color w:val="000000" w:themeColor="text1"/>
          <w:spacing w:val="0"/>
          <w:u w:val="single"/>
        </w:rPr>
        <w:t>http://wwwvismtorg/pub/ComplexityandLeadershippdf</w:t>
      </w:r>
      <w:r w:rsidRPr="007C56DF">
        <w:rPr>
          <w:rFonts w:ascii="Times New Roman" w:eastAsia="Times New Roman" w:hAnsi="Times New Roman" w:cs="Times New Roman"/>
          <w:spacing w:val="0"/>
        </w:rPr>
        <w:t xml:space="preserve">  </w:t>
      </w:r>
    </w:p>
    <w:bookmarkEnd w:id="4"/>
    <w:p w14:paraId="5B406755" w14:textId="77777777" w:rsidR="004F65FD" w:rsidRPr="007C56DF" w:rsidRDefault="004F65FD" w:rsidP="007C56DF">
      <w:pPr>
        <w:ind w:left="720" w:hanging="720"/>
        <w:rPr>
          <w:rFonts w:ascii="Times New Roman" w:eastAsia="Times New Roman" w:hAnsi="Times New Roman" w:cs="Times New Roman"/>
          <w:color w:val="333333"/>
        </w:rPr>
      </w:pPr>
      <w:r w:rsidRPr="007C56DF">
        <w:rPr>
          <w:rFonts w:ascii="Times New Roman" w:eastAsia="Times New Roman" w:hAnsi="Times New Roman" w:cs="Times New Roman"/>
          <w:color w:val="333333"/>
        </w:rPr>
        <w:lastRenderedPageBreak/>
        <w:t xml:space="preserve">Gibson, D., &amp; Knezek, G. (2011, March). Game changers for teacher education. </w:t>
      </w:r>
      <w:r w:rsidRPr="007C56DF">
        <w:rPr>
          <w:rFonts w:ascii="Times New Roman" w:eastAsia="Times New Roman" w:hAnsi="Times New Roman" w:cs="Times New Roman"/>
          <w:i/>
          <w:iCs/>
          <w:color w:val="333333"/>
        </w:rPr>
        <w:t>Society for Information Technology &amp; Teacher Education International Conference</w:t>
      </w:r>
      <w:r w:rsidRPr="007C56DF">
        <w:rPr>
          <w:rFonts w:ascii="Times New Roman" w:eastAsia="Times New Roman" w:hAnsi="Times New Roman" w:cs="Times New Roman"/>
          <w:color w:val="333333"/>
        </w:rPr>
        <w:t xml:space="preserve">, </w:t>
      </w:r>
      <w:r w:rsidRPr="007C56DF">
        <w:rPr>
          <w:rFonts w:ascii="Times New Roman" w:eastAsia="Times New Roman" w:hAnsi="Times New Roman" w:cs="Times New Roman"/>
          <w:i/>
          <w:color w:val="333333"/>
        </w:rPr>
        <w:t>1</w:t>
      </w:r>
      <w:r w:rsidRPr="007C56DF">
        <w:rPr>
          <w:rFonts w:ascii="Times New Roman" w:eastAsia="Times New Roman" w:hAnsi="Times New Roman" w:cs="Times New Roman"/>
          <w:color w:val="333333"/>
        </w:rPr>
        <w:t>, 929-942.</w:t>
      </w:r>
    </w:p>
    <w:p w14:paraId="50C8FD5F" w14:textId="77777777" w:rsidR="004F65FD" w:rsidRPr="007C56DF" w:rsidRDefault="004F65FD" w:rsidP="007C56DF">
      <w:pPr>
        <w:ind w:left="720" w:hanging="720"/>
        <w:rPr>
          <w:rFonts w:ascii="Times New Roman" w:eastAsia="Times New Roman" w:hAnsi="Times New Roman" w:cs="Times New Roman"/>
          <w:color w:val="333333"/>
        </w:rPr>
      </w:pPr>
      <w:r w:rsidRPr="007C56DF">
        <w:rPr>
          <w:rFonts w:ascii="Times New Roman" w:eastAsia="Times New Roman" w:hAnsi="Times New Roman" w:cs="Times New Roman"/>
          <w:color w:val="333333"/>
        </w:rPr>
        <w:t>González, N., Moll, L. C., &amp; Amanti, C. (Eds.). (2013). </w:t>
      </w:r>
      <w:r w:rsidRPr="007C56DF">
        <w:rPr>
          <w:rFonts w:ascii="Times New Roman" w:eastAsia="Times New Roman" w:hAnsi="Times New Roman" w:cs="Times New Roman"/>
          <w:i/>
          <w:iCs/>
          <w:color w:val="333333"/>
        </w:rPr>
        <w:t>Funds of knowledge: Theorizing practices in households, communities, and classrooms</w:t>
      </w:r>
      <w:r w:rsidRPr="007C56DF">
        <w:rPr>
          <w:rFonts w:ascii="Times New Roman" w:eastAsia="Times New Roman" w:hAnsi="Times New Roman" w:cs="Times New Roman"/>
          <w:color w:val="333333"/>
        </w:rPr>
        <w:t>. New York:  Routledge.</w:t>
      </w:r>
    </w:p>
    <w:p w14:paraId="49AD0904" w14:textId="77777777" w:rsidR="004F65FD" w:rsidRPr="007C56DF" w:rsidRDefault="004F65FD" w:rsidP="007C56DF">
      <w:pPr>
        <w:ind w:left="720" w:hanging="720"/>
        <w:rPr>
          <w:rFonts w:ascii="Times New Roman" w:eastAsia="Times New Roman" w:hAnsi="Times New Roman" w:cs="Times New Roman"/>
          <w:color w:val="333333"/>
        </w:rPr>
      </w:pPr>
      <w:r w:rsidRPr="007C56DF">
        <w:rPr>
          <w:rFonts w:ascii="Times New Roman" w:eastAsia="Times New Roman" w:hAnsi="Times New Roman" w:cs="Times New Roman"/>
          <w:color w:val="333333"/>
        </w:rPr>
        <w:t xml:space="preserve">Grossman, P. &amp; Loeb, S. (2008) (Eds.).  </w:t>
      </w:r>
      <w:r w:rsidRPr="007C56DF">
        <w:rPr>
          <w:rFonts w:ascii="Times New Roman" w:eastAsia="Times New Roman" w:hAnsi="Times New Roman" w:cs="Times New Roman"/>
          <w:i/>
          <w:color w:val="333333"/>
        </w:rPr>
        <w:t>Taking stock:  An examination of alternative certification</w:t>
      </w:r>
      <w:r w:rsidRPr="007C56DF">
        <w:rPr>
          <w:rFonts w:ascii="Times New Roman" w:eastAsia="Times New Roman" w:hAnsi="Times New Roman" w:cs="Times New Roman"/>
          <w:color w:val="333333"/>
        </w:rPr>
        <w:t>.  Cambridge, MA:  Harvard Education Press.</w:t>
      </w:r>
    </w:p>
    <w:p w14:paraId="0E3FC0B0" w14:textId="1A516364" w:rsidR="004F65FD" w:rsidRPr="007C56DF" w:rsidRDefault="004F65FD" w:rsidP="007C56DF">
      <w:pPr>
        <w:shd w:val="clear" w:color="auto" w:fill="FFFFFF" w:themeFill="background1"/>
        <w:ind w:left="720" w:hanging="720"/>
        <w:rPr>
          <w:rFonts w:ascii="Times New Roman" w:eastAsia="Times New Roman" w:hAnsi="Times New Roman" w:cs="Times New Roman"/>
          <w:color w:val="000000"/>
        </w:rPr>
      </w:pPr>
      <w:r w:rsidRPr="007C56DF">
        <w:rPr>
          <w:rFonts w:ascii="Times New Roman" w:hAnsi="Times New Roman" w:cs="Times New Roman"/>
        </w:rPr>
        <w:t xml:space="preserve">Hanushek, E. A. &amp; Rivkin, S. G. (2010).  </w:t>
      </w:r>
      <w:r w:rsidRPr="007C56DF">
        <w:rPr>
          <w:rFonts w:ascii="Times New Roman" w:eastAsia="Times New Roman" w:hAnsi="Times New Roman" w:cs="Times New Roman"/>
          <w:bCs/>
          <w:color w:val="000000"/>
        </w:rPr>
        <w:t xml:space="preserve">Generalizations about Using Value-Added Measures of Teacher Quality. </w:t>
      </w:r>
      <w:r w:rsidRPr="007C56DF">
        <w:rPr>
          <w:rFonts w:ascii="Times New Roman" w:eastAsia="Times New Roman" w:hAnsi="Times New Roman" w:cs="Times New Roman"/>
          <w:i/>
          <w:iCs/>
          <w:color w:val="000000"/>
        </w:rPr>
        <w:t>The American Economic Review</w:t>
      </w:r>
      <w:r w:rsidRPr="007C56DF">
        <w:rPr>
          <w:rFonts w:ascii="Times New Roman" w:eastAsia="Times New Roman" w:hAnsi="Times New Roman" w:cs="Times New Roman"/>
          <w:color w:val="000000"/>
        </w:rPr>
        <w:t>, 100, 267-271.</w:t>
      </w:r>
    </w:p>
    <w:p w14:paraId="3ECFD86F" w14:textId="3AC023EF" w:rsidR="004F65FD" w:rsidRPr="007C56DF" w:rsidRDefault="004F65FD" w:rsidP="007C56DF">
      <w:pPr>
        <w:ind w:left="720" w:hanging="720"/>
        <w:rPr>
          <w:rFonts w:ascii="Times New Roman" w:hAnsi="Times New Roman" w:cs="Times New Roman"/>
        </w:rPr>
      </w:pPr>
      <w:r w:rsidRPr="007C56DF">
        <w:rPr>
          <w:rFonts w:ascii="Times New Roman" w:hAnsi="Times New Roman" w:cs="Times New Roman"/>
          <w:color w:val="000000"/>
        </w:rPr>
        <w:t xml:space="preserve">Hanushek, E. A. (2010).  The economic value of higher teacher quality.  </w:t>
      </w:r>
      <w:r w:rsidRPr="007C56DF">
        <w:rPr>
          <w:rFonts w:ascii="Times New Roman" w:hAnsi="Times New Roman" w:cs="Times New Roman"/>
          <w:i/>
          <w:color w:val="000000"/>
        </w:rPr>
        <w:t>Economics of Education Review</w:t>
      </w:r>
      <w:r w:rsidRPr="007C56DF">
        <w:rPr>
          <w:rFonts w:ascii="Times New Roman" w:hAnsi="Times New Roman" w:cs="Times New Roman"/>
          <w:color w:val="000000"/>
        </w:rPr>
        <w:t xml:space="preserve">, </w:t>
      </w:r>
      <w:r w:rsidRPr="007C56DF">
        <w:rPr>
          <w:rFonts w:ascii="Times New Roman" w:hAnsi="Times New Roman" w:cs="Times New Roman"/>
          <w:i/>
          <w:color w:val="000000"/>
        </w:rPr>
        <w:t>30</w:t>
      </w:r>
      <w:r w:rsidRPr="007C56DF">
        <w:rPr>
          <w:rFonts w:ascii="Times New Roman" w:hAnsi="Times New Roman" w:cs="Times New Roman"/>
          <w:color w:val="000000"/>
        </w:rPr>
        <w:t>, 466-479.</w:t>
      </w:r>
    </w:p>
    <w:p w14:paraId="46AEF284" w14:textId="77777777" w:rsidR="004F65FD" w:rsidRPr="007C56DF" w:rsidRDefault="004F65FD" w:rsidP="007C56DF">
      <w:pPr>
        <w:ind w:left="720" w:hanging="720"/>
        <w:rPr>
          <w:rFonts w:ascii="Times New Roman" w:hAnsi="Times New Roman" w:cs="Times New Roman"/>
        </w:rPr>
      </w:pPr>
      <w:r w:rsidRPr="007C56DF">
        <w:rPr>
          <w:rFonts w:ascii="Times New Roman" w:hAnsi="Times New Roman" w:cs="Times New Roman"/>
        </w:rPr>
        <w:t xml:space="preserve">Headden, S. (2014).  </w:t>
      </w:r>
      <w:r w:rsidRPr="007C56DF">
        <w:rPr>
          <w:rFonts w:ascii="Times New Roman" w:hAnsi="Times New Roman" w:cs="Times New Roman"/>
          <w:i/>
          <w:iCs/>
        </w:rPr>
        <w:t>Beginners in the classroom:  What the changing demographics of teaching mean for schools, students, and society.</w:t>
      </w:r>
      <w:r w:rsidRPr="007C56DF">
        <w:rPr>
          <w:rFonts w:ascii="Times New Roman" w:hAnsi="Times New Roman" w:cs="Times New Roman"/>
        </w:rPr>
        <w:t>  Stanford, CA:  Carnegie Foundation for the Advancement of Teaching.</w:t>
      </w:r>
    </w:p>
    <w:p w14:paraId="409A83C6" w14:textId="77777777" w:rsidR="004F65FD" w:rsidRPr="007C56DF" w:rsidRDefault="004F65FD" w:rsidP="007C56DF">
      <w:pPr>
        <w:ind w:left="720" w:hanging="720"/>
        <w:rPr>
          <w:rFonts w:ascii="Times New Roman" w:hAnsi="Times New Roman" w:cs="Times New Roman"/>
          <w:shd w:val="clear" w:color="auto" w:fill="FFFFFF"/>
        </w:rPr>
      </w:pPr>
      <w:r w:rsidRPr="007C56DF">
        <w:rPr>
          <w:rFonts w:ascii="Times New Roman" w:hAnsi="Times New Roman" w:cs="Times New Roman"/>
          <w:shd w:val="clear" w:color="auto" w:fill="FFFFFF"/>
        </w:rPr>
        <w:t>Henig, J. R. (2013).</w:t>
      </w:r>
      <w:r w:rsidRPr="007C56DF">
        <w:rPr>
          <w:rFonts w:ascii="Times New Roman" w:hAnsi="Times New Roman" w:cs="Times New Roman"/>
          <w:color w:val="222222"/>
          <w:shd w:val="clear" w:color="auto" w:fill="FFFFFF"/>
        </w:rPr>
        <w:t> </w:t>
      </w:r>
      <w:r w:rsidRPr="007C56DF">
        <w:rPr>
          <w:rFonts w:ascii="Times New Roman" w:hAnsi="Times New Roman" w:cs="Times New Roman"/>
          <w:i/>
          <w:shd w:val="clear" w:color="auto" w:fill="FFFFFF"/>
        </w:rPr>
        <w:t>The end of exceptionalism in American education: The changing politics of school reform</w:t>
      </w:r>
      <w:r w:rsidRPr="007C56DF">
        <w:rPr>
          <w:rFonts w:ascii="Times New Roman" w:hAnsi="Times New Roman" w:cs="Times New Roman"/>
          <w:shd w:val="clear" w:color="auto" w:fill="FFFFFF"/>
        </w:rPr>
        <w:t>. Cambridge, MA: Harvard Education Press.</w:t>
      </w:r>
    </w:p>
    <w:p w14:paraId="02BE2A43" w14:textId="77777777" w:rsidR="004F65FD" w:rsidRPr="007C56DF" w:rsidRDefault="004F65FD" w:rsidP="007C56DF">
      <w:pPr>
        <w:ind w:left="720" w:hanging="720"/>
        <w:rPr>
          <w:rFonts w:ascii="Times New Roman" w:eastAsia="Times New Roman" w:hAnsi="Times New Roman" w:cs="Times New Roman"/>
          <w:color w:val="000000"/>
        </w:rPr>
      </w:pPr>
      <w:r w:rsidRPr="007C56DF">
        <w:rPr>
          <w:rFonts w:ascii="Times New Roman" w:eastAsia="Times New Roman" w:hAnsi="Times New Roman" w:cs="Times New Roman"/>
          <w:color w:val="000000"/>
        </w:rPr>
        <w:t>Kamman, McCray, Brownell, Ribuffo &amp; Wang, 2014</w:t>
      </w:r>
    </w:p>
    <w:p w14:paraId="5467EBF5" w14:textId="77777777" w:rsidR="004F65FD" w:rsidRPr="007C56DF" w:rsidRDefault="004F65FD" w:rsidP="007C56DF">
      <w:pPr>
        <w:ind w:left="720" w:hanging="720"/>
        <w:rPr>
          <w:rFonts w:ascii="Times New Roman" w:hAnsi="Times New Roman" w:cs="Times New Roman"/>
        </w:rPr>
      </w:pPr>
      <w:r w:rsidRPr="007C56DF">
        <w:rPr>
          <w:rFonts w:ascii="Times New Roman" w:hAnsi="Times New Roman" w:cs="Times New Roman"/>
        </w:rPr>
        <w:t>Kee, A. N. (2012). Feelings of Preparedness Among Alternatively Certified Teachers What Is the Role of Program Features?. </w:t>
      </w:r>
      <w:r w:rsidRPr="007C56DF">
        <w:rPr>
          <w:rFonts w:ascii="Times New Roman" w:hAnsi="Times New Roman" w:cs="Times New Roman"/>
          <w:i/>
          <w:iCs/>
        </w:rPr>
        <w:t>Journal of Teacher Education</w:t>
      </w:r>
      <w:r w:rsidRPr="007C56DF">
        <w:rPr>
          <w:rFonts w:ascii="Times New Roman" w:hAnsi="Times New Roman" w:cs="Times New Roman"/>
        </w:rPr>
        <w:t>, </w:t>
      </w:r>
      <w:r w:rsidRPr="007C56DF">
        <w:rPr>
          <w:rFonts w:ascii="Times New Roman" w:hAnsi="Times New Roman" w:cs="Times New Roman"/>
          <w:i/>
          <w:iCs/>
        </w:rPr>
        <w:t>63</w:t>
      </w:r>
      <w:r w:rsidRPr="007C56DF">
        <w:rPr>
          <w:rFonts w:ascii="Times New Roman" w:hAnsi="Times New Roman" w:cs="Times New Roman"/>
        </w:rPr>
        <w:t>(1), 23-38.</w:t>
      </w:r>
    </w:p>
    <w:p w14:paraId="31D408DF" w14:textId="49A08C83" w:rsidR="004F65FD" w:rsidRPr="007C56DF" w:rsidRDefault="004F65FD" w:rsidP="007C56DF">
      <w:pPr>
        <w:ind w:left="720" w:hanging="720"/>
        <w:rPr>
          <w:rFonts w:ascii="Times New Roman" w:hAnsi="Times New Roman" w:cs="Times New Roman"/>
          <w:noProof/>
        </w:rPr>
      </w:pPr>
      <w:bookmarkStart w:id="5" w:name="_ENREF_5"/>
      <w:r w:rsidRPr="007C56DF">
        <w:rPr>
          <w:rFonts w:ascii="Times New Roman" w:hAnsi="Times New Roman" w:cs="Times New Roman"/>
          <w:noProof/>
        </w:rPr>
        <w:t xml:space="preserve">Klingner, J. K., Boardman, A. G. &amp; McMaster, K. L. (2013). What does it take to scale up and sustain evidence-based practices? </w:t>
      </w:r>
      <w:r w:rsidRPr="007C56DF">
        <w:rPr>
          <w:rFonts w:ascii="Times New Roman" w:hAnsi="Times New Roman" w:cs="Times New Roman"/>
          <w:i/>
          <w:noProof/>
        </w:rPr>
        <w:t>Exceptional Children, 79</w:t>
      </w:r>
      <w:r w:rsidRPr="007C56DF">
        <w:rPr>
          <w:rFonts w:ascii="Times New Roman" w:hAnsi="Times New Roman" w:cs="Times New Roman"/>
          <w:noProof/>
        </w:rPr>
        <w:t xml:space="preserve">(2), 195-211. </w:t>
      </w:r>
      <w:bookmarkEnd w:id="5"/>
    </w:p>
    <w:p w14:paraId="2E652EF3" w14:textId="77777777" w:rsidR="004F65FD" w:rsidRPr="007C56DF" w:rsidRDefault="004F65FD" w:rsidP="007C56DF">
      <w:pPr>
        <w:ind w:left="720" w:hanging="720"/>
        <w:rPr>
          <w:rFonts w:ascii="Times New Roman" w:hAnsi="Times New Roman" w:cs="Times New Roman"/>
        </w:rPr>
      </w:pPr>
      <w:r w:rsidRPr="007C56DF">
        <w:rPr>
          <w:rFonts w:ascii="Times New Roman" w:hAnsi="Times New Roman" w:cs="Times New Roman"/>
        </w:rPr>
        <w:t xml:space="preserve">Kozleski, E. B. &amp; Artiles, A. (2014). Beyond psychological views of student learning in systemic reform agendas.   In E. B. Kozleski &amp; K. K. Thorius (Eds.), </w:t>
      </w:r>
      <w:r w:rsidRPr="007C56DF">
        <w:rPr>
          <w:rFonts w:ascii="Times New Roman" w:hAnsi="Times New Roman" w:cs="Times New Roman"/>
          <w:i/>
          <w:iCs/>
        </w:rPr>
        <w:t xml:space="preserve">Ability, equity, and </w:t>
      </w:r>
      <w:r w:rsidRPr="007C56DF">
        <w:rPr>
          <w:rFonts w:ascii="Times New Roman" w:hAnsi="Times New Roman" w:cs="Times New Roman"/>
          <w:i/>
          <w:iCs/>
        </w:rPr>
        <w:lastRenderedPageBreak/>
        <w:t>culture:  Sustaining inclusive urban education reform</w:t>
      </w:r>
      <w:r w:rsidRPr="007C56DF">
        <w:rPr>
          <w:rFonts w:ascii="Times New Roman" w:hAnsi="Times New Roman" w:cs="Times New Roman"/>
          <w:i/>
        </w:rPr>
        <w:t xml:space="preserve"> </w:t>
      </w:r>
      <w:r w:rsidRPr="007C56DF">
        <w:rPr>
          <w:rFonts w:ascii="Times New Roman" w:hAnsi="Times New Roman" w:cs="Times New Roman"/>
        </w:rPr>
        <w:t>(pp. 63-79).  New York:  Teachers College Press.</w:t>
      </w:r>
    </w:p>
    <w:p w14:paraId="7AC6F53E" w14:textId="77777777" w:rsidR="004F65FD" w:rsidRPr="007C56DF" w:rsidRDefault="004F65FD" w:rsidP="007C56DF">
      <w:pPr>
        <w:pStyle w:val="References"/>
        <w:rPr>
          <w:rFonts w:ascii="Times New Roman" w:hAnsi="Times New Roman" w:cs="Times New Roman"/>
        </w:rPr>
      </w:pPr>
      <w:r w:rsidRPr="007C56DF">
        <w:rPr>
          <w:rFonts w:ascii="Times New Roman" w:hAnsi="Times New Roman" w:cs="Times New Roman"/>
        </w:rPr>
        <w:t>Kozleski, E. B. &amp; Huber, J. J. (2012).  System-wide leadership for culturally responsive education.  In J. Crockett, B. Billingsley, &amp; M. L. Boscardin (Eds</w:t>
      </w:r>
      <w:r w:rsidRPr="007C56DF">
        <w:rPr>
          <w:rFonts w:ascii="Times New Roman" w:hAnsi="Times New Roman" w:cs="Times New Roman"/>
          <w:i/>
        </w:rPr>
        <w:t>).  Handbook of leadership and administration for special education (</w:t>
      </w:r>
      <w:r w:rsidRPr="007C56DF">
        <w:rPr>
          <w:rFonts w:ascii="Times New Roman" w:hAnsi="Times New Roman" w:cs="Times New Roman"/>
        </w:rPr>
        <w:t>pp. 155-169</w:t>
      </w:r>
      <w:r w:rsidRPr="007C56DF">
        <w:rPr>
          <w:rFonts w:ascii="Times New Roman" w:hAnsi="Times New Roman" w:cs="Times New Roman"/>
          <w:i/>
        </w:rPr>
        <w:t>)</w:t>
      </w:r>
      <w:r w:rsidRPr="007C56DF">
        <w:rPr>
          <w:rFonts w:ascii="Times New Roman" w:hAnsi="Times New Roman" w:cs="Times New Roman"/>
        </w:rPr>
        <w:t>.  London: Routledge.</w:t>
      </w:r>
    </w:p>
    <w:p w14:paraId="3DBB4AFA" w14:textId="77777777" w:rsidR="004F65FD" w:rsidRPr="007C56DF" w:rsidRDefault="004F65FD" w:rsidP="007C56DF">
      <w:pPr>
        <w:ind w:left="720" w:hanging="720"/>
        <w:rPr>
          <w:rFonts w:ascii="Times New Roman" w:eastAsia="Adobe Song Std L" w:hAnsi="Times New Roman" w:cs="Times New Roman"/>
        </w:rPr>
      </w:pPr>
      <w:r w:rsidRPr="007C56DF">
        <w:rPr>
          <w:rFonts w:ascii="Times New Roman" w:eastAsia="Adobe Song Std L" w:hAnsi="Times New Roman" w:cs="Times New Roman"/>
        </w:rPr>
        <w:t xml:space="preserve">Kozleski, E. B. &amp; Huber, J. J., (2010). </w:t>
      </w:r>
      <w:r w:rsidRPr="007C56DF">
        <w:rPr>
          <w:rFonts w:ascii="Times New Roman" w:eastAsia="Times New Roman" w:hAnsi="Times New Roman" w:cs="Times New Roman"/>
          <w:color w:val="333333"/>
        </w:rPr>
        <w:t xml:space="preserve">Systemic change for RTI:  Embedding change within a critical framework.  </w:t>
      </w:r>
      <w:r w:rsidRPr="007C56DF">
        <w:rPr>
          <w:rFonts w:ascii="Times New Roman" w:eastAsia="Adobe Song Std L" w:hAnsi="Times New Roman" w:cs="Times New Roman"/>
        </w:rPr>
        <w:t xml:space="preserve"> </w:t>
      </w:r>
      <w:r w:rsidRPr="007C56DF">
        <w:rPr>
          <w:rFonts w:ascii="Times New Roman" w:eastAsia="Adobe Song Std L" w:hAnsi="Times New Roman" w:cs="Times New Roman"/>
          <w:i/>
        </w:rPr>
        <w:t>Theory into Practice</w:t>
      </w:r>
      <w:r w:rsidRPr="007C56DF">
        <w:rPr>
          <w:rFonts w:ascii="Times New Roman" w:eastAsia="Adobe Song Std L" w:hAnsi="Times New Roman" w:cs="Times New Roman"/>
        </w:rPr>
        <w:t>, 49, 258 - 264.</w:t>
      </w:r>
    </w:p>
    <w:p w14:paraId="5538319C" w14:textId="77777777" w:rsidR="004F65FD" w:rsidRPr="007C56DF" w:rsidRDefault="004F65FD" w:rsidP="007C56DF">
      <w:pPr>
        <w:autoSpaceDE/>
        <w:autoSpaceDN/>
        <w:adjustRightInd/>
        <w:spacing w:after="60"/>
        <w:ind w:left="432" w:hanging="432"/>
        <w:rPr>
          <w:rFonts w:ascii="Times New Roman" w:eastAsia="Times New Roman" w:hAnsi="Times New Roman" w:cs="Times New Roman"/>
          <w:color w:val="000000"/>
          <w:spacing w:val="0"/>
        </w:rPr>
      </w:pPr>
      <w:r w:rsidRPr="007C56DF">
        <w:rPr>
          <w:rFonts w:ascii="Times New Roman" w:eastAsia="Times New Roman" w:hAnsi="Times New Roman" w:cs="Times New Roman"/>
          <w:color w:val="000000"/>
          <w:spacing w:val="0"/>
        </w:rPr>
        <w:t xml:space="preserve">Kozleski, E. B. &amp; Thorius, K. K. (2014).  Making policy stick:  Distributed networks of reform.  In E. B. Kozleski &amp; K. K. Thorius (Eds.), </w:t>
      </w:r>
      <w:r w:rsidRPr="007C56DF">
        <w:rPr>
          <w:rFonts w:ascii="Times New Roman" w:eastAsia="Times New Roman" w:hAnsi="Times New Roman" w:cs="Times New Roman"/>
          <w:i/>
          <w:iCs/>
          <w:color w:val="000000"/>
          <w:spacing w:val="0"/>
        </w:rPr>
        <w:t>Ability, equity, and culture:  Sustaining inclusive urban education reform</w:t>
      </w:r>
      <w:r w:rsidRPr="007C56DF">
        <w:rPr>
          <w:rFonts w:ascii="Times New Roman" w:eastAsia="Times New Roman" w:hAnsi="Times New Roman" w:cs="Times New Roman"/>
          <w:color w:val="000000"/>
          <w:spacing w:val="0"/>
        </w:rPr>
        <w:t xml:space="preserve"> (pp. 217-240).  New York:  Teachers College Press.</w:t>
      </w:r>
    </w:p>
    <w:p w14:paraId="67D410E0" w14:textId="77777777" w:rsidR="004F65FD" w:rsidRPr="007C56DF" w:rsidRDefault="004F65FD" w:rsidP="007C56DF">
      <w:pPr>
        <w:autoSpaceDE/>
        <w:autoSpaceDN/>
        <w:adjustRightInd/>
        <w:spacing w:after="60"/>
        <w:ind w:left="432" w:hanging="432"/>
        <w:rPr>
          <w:rFonts w:ascii="Times New Roman" w:eastAsia="Adobe Song Std L" w:hAnsi="Times New Roman" w:cs="Times New Roman"/>
          <w:color w:val="000000"/>
          <w:spacing w:val="0"/>
        </w:rPr>
      </w:pPr>
      <w:r w:rsidRPr="007C56DF">
        <w:rPr>
          <w:rFonts w:ascii="Times New Roman" w:eastAsia="Adobe Song Std L" w:hAnsi="Times New Roman" w:cs="Times New Roman"/>
          <w:color w:val="000000"/>
          <w:spacing w:val="0"/>
        </w:rPr>
        <w:t xml:space="preserve">Kozleski, E. B., &amp; Smith, A. (2009).  The complexities of systems change in creating equity for students with disabilities in urban schools.  </w:t>
      </w:r>
      <w:r w:rsidRPr="007C56DF">
        <w:rPr>
          <w:rFonts w:ascii="Times New Roman" w:eastAsia="Adobe Song Std L" w:hAnsi="Times New Roman" w:cs="Times New Roman"/>
          <w:i/>
          <w:color w:val="000000"/>
          <w:spacing w:val="0"/>
        </w:rPr>
        <w:t>Urban Education</w:t>
      </w:r>
      <w:r w:rsidRPr="007C56DF">
        <w:rPr>
          <w:rFonts w:ascii="Times New Roman" w:eastAsia="Adobe Song Std L" w:hAnsi="Times New Roman" w:cs="Times New Roman"/>
          <w:color w:val="000000"/>
          <w:spacing w:val="0"/>
        </w:rPr>
        <w:t xml:space="preserve">, </w:t>
      </w:r>
      <w:r w:rsidRPr="007C56DF">
        <w:rPr>
          <w:rFonts w:ascii="Times New Roman" w:eastAsia="Adobe Song Std L" w:hAnsi="Times New Roman" w:cs="Times New Roman"/>
          <w:i/>
          <w:color w:val="000000"/>
          <w:spacing w:val="0"/>
        </w:rPr>
        <w:t>44</w:t>
      </w:r>
      <w:r w:rsidRPr="007C56DF">
        <w:rPr>
          <w:rFonts w:ascii="Times New Roman" w:eastAsia="Adobe Song Std L" w:hAnsi="Times New Roman" w:cs="Times New Roman"/>
          <w:color w:val="000000"/>
          <w:spacing w:val="0"/>
        </w:rPr>
        <w:t>, 427-451.</w:t>
      </w:r>
    </w:p>
    <w:p w14:paraId="4D984E18" w14:textId="4D2F32F9" w:rsidR="004F65FD" w:rsidRPr="007C56DF" w:rsidRDefault="004F65FD" w:rsidP="007C56DF">
      <w:pPr>
        <w:ind w:left="720" w:hanging="720"/>
        <w:rPr>
          <w:rFonts w:ascii="Times New Roman" w:hAnsi="Times New Roman" w:cs="Times New Roman"/>
        </w:rPr>
      </w:pPr>
      <w:r w:rsidRPr="007C56DF">
        <w:rPr>
          <w:rFonts w:ascii="Times New Roman" w:hAnsi="Times New Roman" w:cs="Times New Roman"/>
        </w:rPr>
        <w:t xml:space="preserve">Kozleski, E. B., Artiles, A. J., McCray, E., </w:t>
      </w:r>
      <w:r w:rsidR="00CF43E8" w:rsidRPr="007C56DF">
        <w:rPr>
          <w:rFonts w:ascii="Times New Roman" w:hAnsi="Times New Roman" w:cs="Times New Roman"/>
        </w:rPr>
        <w:t xml:space="preserve">&amp; </w:t>
      </w:r>
      <w:r w:rsidRPr="007C56DF">
        <w:rPr>
          <w:rFonts w:ascii="Times New Roman" w:hAnsi="Times New Roman" w:cs="Times New Roman"/>
        </w:rPr>
        <w:t xml:space="preserve">Lacy, L. (2014).  Equity challenges in the accountability age:  Demographic representation and distribution in the teacher workforce.  In P. Sindelar, E. McCray, M. Brownell, &amp; B. Lignugaris/Kraft (Eds).  </w:t>
      </w:r>
      <w:r w:rsidRPr="007C56DF">
        <w:rPr>
          <w:rFonts w:ascii="Times New Roman" w:hAnsi="Times New Roman" w:cs="Times New Roman"/>
          <w:i/>
        </w:rPr>
        <w:t xml:space="preserve">Handbook on research in special education teacher education </w:t>
      </w:r>
      <w:r w:rsidRPr="007C56DF">
        <w:rPr>
          <w:rFonts w:ascii="Times New Roman" w:hAnsi="Times New Roman" w:cs="Times New Roman"/>
        </w:rPr>
        <w:t>(pp. 113-126).  New York: Routledge.</w:t>
      </w:r>
    </w:p>
    <w:p w14:paraId="66F8DE0F" w14:textId="77777777" w:rsidR="004F65FD" w:rsidRPr="007C56DF" w:rsidRDefault="004F65FD" w:rsidP="007C56DF">
      <w:pPr>
        <w:autoSpaceDE/>
        <w:autoSpaceDN/>
        <w:adjustRightInd/>
        <w:spacing w:after="120"/>
        <w:ind w:left="432" w:hanging="432"/>
        <w:rPr>
          <w:rFonts w:ascii="Times New Roman" w:eastAsia="Times New Roman" w:hAnsi="Times New Roman" w:cs="Times New Roman"/>
          <w:color w:val="000000"/>
          <w:spacing w:val="0"/>
        </w:rPr>
      </w:pPr>
      <w:r w:rsidRPr="007C56DF">
        <w:rPr>
          <w:rFonts w:ascii="Times New Roman" w:eastAsia="Times New Roman" w:hAnsi="Times New Roman" w:cs="Times New Roman"/>
          <w:color w:val="000000"/>
          <w:spacing w:val="0"/>
        </w:rPr>
        <w:t xml:space="preserve">Kozleski, E. B., Artiles, A., &amp; Skrtic, T. (2014).  Getting to high quality instruction and support in high need and culturally diverse inclusive schools.  In J. Mcleskey, N. L Waldron, F. Spooner, &amp; B. Algozzine (eds), </w:t>
      </w:r>
      <w:r w:rsidRPr="007C56DF">
        <w:rPr>
          <w:rFonts w:ascii="Times New Roman" w:eastAsia="Times New Roman" w:hAnsi="Times New Roman" w:cs="Times New Roman"/>
          <w:i/>
          <w:color w:val="000000"/>
          <w:spacing w:val="0"/>
        </w:rPr>
        <w:t>Handbook of effective inclusive schools:  Research and practice (</w:t>
      </w:r>
      <w:r w:rsidRPr="007C56DF">
        <w:rPr>
          <w:rFonts w:ascii="Times New Roman" w:eastAsia="Times New Roman" w:hAnsi="Times New Roman" w:cs="Times New Roman"/>
          <w:color w:val="000000"/>
          <w:spacing w:val="0"/>
        </w:rPr>
        <w:t>pp. 118-136</w:t>
      </w:r>
      <w:r w:rsidRPr="007C56DF">
        <w:rPr>
          <w:rFonts w:ascii="Times New Roman" w:eastAsia="Times New Roman" w:hAnsi="Times New Roman" w:cs="Times New Roman"/>
          <w:i/>
          <w:color w:val="000000"/>
          <w:spacing w:val="0"/>
        </w:rPr>
        <w:t xml:space="preserve">).  </w:t>
      </w:r>
      <w:r w:rsidRPr="007C56DF">
        <w:rPr>
          <w:rFonts w:ascii="Times New Roman" w:eastAsia="Times New Roman" w:hAnsi="Times New Roman" w:cs="Times New Roman"/>
          <w:color w:val="000000"/>
          <w:spacing w:val="0"/>
        </w:rPr>
        <w:t>New York:  Routledge.</w:t>
      </w:r>
    </w:p>
    <w:p w14:paraId="746BE280" w14:textId="14B991E9" w:rsidR="004F65FD" w:rsidRPr="007C56DF" w:rsidRDefault="004F65FD" w:rsidP="007C56DF">
      <w:pPr>
        <w:ind w:left="720" w:hanging="720"/>
        <w:rPr>
          <w:rFonts w:ascii="Times New Roman" w:hAnsi="Times New Roman" w:cs="Times New Roman"/>
          <w:noProof/>
        </w:rPr>
      </w:pPr>
      <w:bookmarkStart w:id="6" w:name="_ENREF_6"/>
      <w:r w:rsidRPr="007C56DF">
        <w:rPr>
          <w:rFonts w:ascii="Times New Roman" w:hAnsi="Times New Roman" w:cs="Times New Roman"/>
          <w:noProof/>
        </w:rPr>
        <w:t>Kozleski, E. B., Gibson, D., &amp; Hynds, A. (2012). Transforming complex educational systems: Grounding systems issues in equity and social justice. In C. G</w:t>
      </w:r>
      <w:r w:rsidR="009B787C">
        <w:rPr>
          <w:rFonts w:ascii="Times New Roman" w:hAnsi="Times New Roman" w:cs="Times New Roman"/>
          <w:noProof/>
        </w:rPr>
        <w:t>ersti</w:t>
      </w:r>
      <w:r w:rsidRPr="007C56DF">
        <w:rPr>
          <w:rFonts w:ascii="Times New Roman" w:hAnsi="Times New Roman" w:cs="Times New Roman"/>
          <w:noProof/>
        </w:rPr>
        <w:t>-P</w:t>
      </w:r>
      <w:r w:rsidR="009B787C">
        <w:rPr>
          <w:rFonts w:ascii="Times New Roman" w:hAnsi="Times New Roman" w:cs="Times New Roman"/>
          <w:noProof/>
        </w:rPr>
        <w:t>epin &amp;</w:t>
      </w:r>
      <w:r w:rsidRPr="007C56DF">
        <w:rPr>
          <w:rFonts w:ascii="Times New Roman" w:hAnsi="Times New Roman" w:cs="Times New Roman"/>
          <w:noProof/>
        </w:rPr>
        <w:t xml:space="preserve"> J</w:t>
      </w:r>
      <w:r w:rsidR="009B787C">
        <w:rPr>
          <w:rFonts w:ascii="Times New Roman" w:hAnsi="Times New Roman" w:cs="Times New Roman"/>
          <w:noProof/>
        </w:rPr>
        <w:t xml:space="preserve">. </w:t>
      </w:r>
      <w:r w:rsidRPr="007C56DF">
        <w:rPr>
          <w:rFonts w:ascii="Times New Roman" w:hAnsi="Times New Roman" w:cs="Times New Roman"/>
          <w:noProof/>
        </w:rPr>
        <w:t xml:space="preserve">Aiken (Ed.), </w:t>
      </w:r>
      <w:r w:rsidRPr="007C56DF">
        <w:rPr>
          <w:rFonts w:ascii="Times New Roman" w:hAnsi="Times New Roman" w:cs="Times New Roman"/>
          <w:i/>
          <w:noProof/>
        </w:rPr>
        <w:lastRenderedPageBreak/>
        <w:t>Defining social justice leadership in global context</w:t>
      </w:r>
      <w:r w:rsidRPr="007C56DF">
        <w:rPr>
          <w:rFonts w:ascii="Times New Roman" w:hAnsi="Times New Roman" w:cs="Times New Roman"/>
          <w:noProof/>
        </w:rPr>
        <w:t xml:space="preserve"> (pp. 263-286). Charlotte, NC: Information Age Publishing.</w:t>
      </w:r>
      <w:bookmarkEnd w:id="6"/>
    </w:p>
    <w:p w14:paraId="69DD4EC5" w14:textId="77777777" w:rsidR="004F65FD" w:rsidRPr="007C56DF" w:rsidRDefault="004F65FD" w:rsidP="007C56DF">
      <w:pPr>
        <w:ind w:left="720" w:hanging="720"/>
        <w:rPr>
          <w:rFonts w:ascii="Times New Roman" w:hAnsi="Times New Roman" w:cs="Times New Roman"/>
        </w:rPr>
      </w:pPr>
      <w:r w:rsidRPr="007C56DF">
        <w:rPr>
          <w:rFonts w:ascii="Times New Roman" w:hAnsi="Times New Roman" w:cs="Times New Roman"/>
        </w:rPr>
        <w:t xml:space="preserve">Kozleski, E. B., Thorius, K. K., &amp; Smith, A. (2014).  Theorizing systemic reform in urban schools.  In E. B. Kozleski &amp; K. K. Thorius (Eds.), </w:t>
      </w:r>
      <w:r w:rsidRPr="007C56DF">
        <w:rPr>
          <w:rFonts w:ascii="Times New Roman" w:hAnsi="Times New Roman" w:cs="Times New Roman"/>
          <w:i/>
          <w:iCs/>
        </w:rPr>
        <w:t>Ability, equity, and culture:  Sustaining inclusive urban education reform</w:t>
      </w:r>
      <w:r w:rsidRPr="007C56DF">
        <w:rPr>
          <w:rFonts w:ascii="Times New Roman" w:hAnsi="Times New Roman" w:cs="Times New Roman"/>
          <w:i/>
        </w:rPr>
        <w:t xml:space="preserve"> </w:t>
      </w:r>
      <w:r w:rsidRPr="007C56DF">
        <w:rPr>
          <w:rFonts w:ascii="Times New Roman" w:hAnsi="Times New Roman" w:cs="Times New Roman"/>
        </w:rPr>
        <w:t>(pp. 11-35).  New York:  Teachers College Press.</w:t>
      </w:r>
    </w:p>
    <w:p w14:paraId="6A23C896" w14:textId="19EC969F" w:rsidR="004F65FD" w:rsidRPr="007C56DF" w:rsidRDefault="004F65FD" w:rsidP="007C56DF">
      <w:pPr>
        <w:ind w:left="720" w:hanging="720"/>
        <w:rPr>
          <w:rFonts w:ascii="Times New Roman" w:eastAsia="Adobe Song Std L" w:hAnsi="Times New Roman" w:cs="Times New Roman"/>
          <w:spacing w:val="0"/>
        </w:rPr>
      </w:pPr>
      <w:r w:rsidRPr="007C56DF">
        <w:rPr>
          <w:rFonts w:ascii="Times New Roman" w:eastAsia="Adobe Song Std L" w:hAnsi="Times New Roman" w:cs="Times New Roman"/>
          <w:spacing w:val="0"/>
        </w:rPr>
        <w:t xml:space="preserve">Kurth, J., Knackstedt, K., &amp; Kozleski, E. B.  (2014).  </w:t>
      </w:r>
      <w:r w:rsidRPr="007C56DF">
        <w:rPr>
          <w:rFonts w:ascii="Times New Roman" w:eastAsia="Adobe Song Std L" w:hAnsi="Times New Roman" w:cs="Times New Roman"/>
          <w:i/>
          <w:spacing w:val="0"/>
        </w:rPr>
        <w:t>2013 Part B Annual Performance Report (APR) Analysis:  Indicator 5, Part B</w:t>
      </w:r>
      <w:r w:rsidRPr="007C56DF">
        <w:rPr>
          <w:rFonts w:ascii="Times New Roman" w:eastAsia="Adobe Song Std L" w:hAnsi="Times New Roman" w:cs="Times New Roman"/>
          <w:spacing w:val="0"/>
        </w:rPr>
        <w:t>.  Lawrence, KS:  SWIFT Center.</w:t>
      </w:r>
    </w:p>
    <w:p w14:paraId="79D30758" w14:textId="77777777" w:rsidR="004F65FD" w:rsidRPr="007C56DF" w:rsidRDefault="004F65FD" w:rsidP="007C56DF">
      <w:pPr>
        <w:ind w:left="720" w:hanging="720"/>
        <w:rPr>
          <w:rFonts w:ascii="Times New Roman" w:hAnsi="Times New Roman" w:cs="Times New Roman"/>
        </w:rPr>
      </w:pPr>
      <w:r w:rsidRPr="007C56DF">
        <w:rPr>
          <w:rFonts w:ascii="Times New Roman" w:hAnsi="Times New Roman" w:cs="Times New Roman"/>
        </w:rPr>
        <w:t xml:space="preserve">Lefstein, A. &amp; Perath, H. (2014).  Empowering teacher voices in an education policy discussion:  Paradoxes of representation.  </w:t>
      </w:r>
      <w:r w:rsidRPr="007C56DF">
        <w:rPr>
          <w:rFonts w:ascii="Times New Roman" w:hAnsi="Times New Roman" w:cs="Times New Roman"/>
          <w:i/>
        </w:rPr>
        <w:t>Teaching and Teacher Education</w:t>
      </w:r>
      <w:r w:rsidRPr="007C56DF">
        <w:rPr>
          <w:rFonts w:ascii="Times New Roman" w:hAnsi="Times New Roman" w:cs="Times New Roman"/>
        </w:rPr>
        <w:t xml:space="preserve">, </w:t>
      </w:r>
      <w:r w:rsidRPr="007C56DF">
        <w:rPr>
          <w:rFonts w:ascii="Times New Roman" w:hAnsi="Times New Roman" w:cs="Times New Roman"/>
          <w:i/>
        </w:rPr>
        <w:t>38</w:t>
      </w:r>
      <w:r w:rsidRPr="007C56DF">
        <w:rPr>
          <w:rFonts w:ascii="Times New Roman" w:hAnsi="Times New Roman" w:cs="Times New Roman"/>
        </w:rPr>
        <w:t>, 33-43.</w:t>
      </w:r>
    </w:p>
    <w:p w14:paraId="2FCDA78B" w14:textId="77777777" w:rsidR="004F65FD" w:rsidRPr="007C56DF" w:rsidRDefault="004F65FD" w:rsidP="007C56DF">
      <w:pPr>
        <w:ind w:left="720" w:hanging="720"/>
        <w:rPr>
          <w:rFonts w:ascii="Times New Roman" w:hAnsi="Times New Roman" w:cs="Times New Roman"/>
        </w:rPr>
      </w:pPr>
      <w:r w:rsidRPr="007C56DF">
        <w:rPr>
          <w:rFonts w:ascii="Times New Roman" w:hAnsi="Times New Roman" w:cs="Times New Roman"/>
        </w:rPr>
        <w:t>Lemke, J. L., &amp; Sabelli, N. H. (2008). Complex systems and educational change: Towards a new research agenda. </w:t>
      </w:r>
      <w:r w:rsidRPr="007C56DF">
        <w:rPr>
          <w:rFonts w:ascii="Times New Roman" w:hAnsi="Times New Roman" w:cs="Times New Roman"/>
          <w:i/>
          <w:iCs/>
        </w:rPr>
        <w:t>Educational Philosophy and Theory</w:t>
      </w:r>
      <w:r w:rsidRPr="007C56DF">
        <w:rPr>
          <w:rFonts w:ascii="Times New Roman" w:hAnsi="Times New Roman" w:cs="Times New Roman"/>
        </w:rPr>
        <w:t xml:space="preserve">, </w:t>
      </w:r>
      <w:r w:rsidRPr="007C56DF">
        <w:rPr>
          <w:rFonts w:ascii="Times New Roman" w:hAnsi="Times New Roman" w:cs="Times New Roman"/>
          <w:i/>
          <w:iCs/>
        </w:rPr>
        <w:t>40</w:t>
      </w:r>
      <w:r w:rsidRPr="007C56DF">
        <w:rPr>
          <w:rFonts w:ascii="Times New Roman" w:hAnsi="Times New Roman" w:cs="Times New Roman"/>
        </w:rPr>
        <w:t>(1), 118-129.</w:t>
      </w:r>
    </w:p>
    <w:p w14:paraId="7FA13A9C" w14:textId="77777777" w:rsidR="004F65FD" w:rsidRPr="007C56DF" w:rsidRDefault="004F65FD" w:rsidP="007C56DF">
      <w:pPr>
        <w:ind w:left="720" w:hanging="720"/>
        <w:rPr>
          <w:rFonts w:ascii="Times New Roman" w:hAnsi="Times New Roman" w:cs="Times New Roman"/>
        </w:rPr>
      </w:pPr>
      <w:r w:rsidRPr="007C56DF">
        <w:rPr>
          <w:rFonts w:ascii="Times New Roman" w:hAnsi="Times New Roman" w:cs="Times New Roman"/>
        </w:rPr>
        <w:t xml:space="preserve">Mamlin, N. (2012).  </w:t>
      </w:r>
      <w:r w:rsidRPr="007C56DF">
        <w:rPr>
          <w:rFonts w:ascii="Times New Roman" w:hAnsi="Times New Roman" w:cs="Times New Roman"/>
          <w:i/>
        </w:rPr>
        <w:t>Preparing effective special education teachers</w:t>
      </w:r>
      <w:r w:rsidRPr="007C56DF">
        <w:rPr>
          <w:rFonts w:ascii="Times New Roman" w:hAnsi="Times New Roman" w:cs="Times New Roman"/>
        </w:rPr>
        <w:t>.  New York:  The Guilford Press.</w:t>
      </w:r>
    </w:p>
    <w:p w14:paraId="67527EF0" w14:textId="6897D67E" w:rsidR="004F65FD" w:rsidRPr="007C56DF" w:rsidRDefault="004F65FD" w:rsidP="007C56DF">
      <w:pPr>
        <w:ind w:left="720" w:hanging="720"/>
        <w:rPr>
          <w:rFonts w:ascii="Times New Roman" w:hAnsi="Times New Roman" w:cs="Times New Roman"/>
          <w:noProof/>
        </w:rPr>
      </w:pPr>
      <w:bookmarkStart w:id="7" w:name="_ENREF_7"/>
      <w:r w:rsidRPr="007C56DF">
        <w:rPr>
          <w:rFonts w:ascii="Times New Roman" w:hAnsi="Times New Roman" w:cs="Times New Roman"/>
          <w:noProof/>
        </w:rPr>
        <w:t>Meyers, D</w:t>
      </w:r>
      <w:r w:rsidR="00945091">
        <w:rPr>
          <w:rFonts w:ascii="Times New Roman" w:hAnsi="Times New Roman" w:cs="Times New Roman"/>
          <w:noProof/>
        </w:rPr>
        <w:t xml:space="preserve">. C., Katz, J., Chien, V., Wandersman, A., Scaccia, J. P., &amp; Wright, A. </w:t>
      </w:r>
      <w:r w:rsidRPr="007C56DF">
        <w:rPr>
          <w:rFonts w:ascii="Times New Roman" w:hAnsi="Times New Roman" w:cs="Times New Roman"/>
          <w:noProof/>
        </w:rPr>
        <w:t xml:space="preserve">(2012). The quality implementation framework: A synthesis of critical steps in the implementation process. </w:t>
      </w:r>
      <w:r w:rsidRPr="007C56DF">
        <w:rPr>
          <w:rFonts w:ascii="Times New Roman" w:hAnsi="Times New Roman" w:cs="Times New Roman"/>
          <w:i/>
          <w:noProof/>
        </w:rPr>
        <w:t>American Journal of Community Psychology, 50</w:t>
      </w:r>
      <w:r w:rsidRPr="007C56DF">
        <w:rPr>
          <w:rFonts w:ascii="Times New Roman" w:hAnsi="Times New Roman" w:cs="Times New Roman"/>
          <w:noProof/>
        </w:rPr>
        <w:t xml:space="preserve">(3-4), 462-480. </w:t>
      </w:r>
      <w:bookmarkEnd w:id="7"/>
    </w:p>
    <w:p w14:paraId="62DC9839" w14:textId="77777777" w:rsidR="004F65FD" w:rsidRPr="007C56DF" w:rsidRDefault="004F65FD" w:rsidP="007C56DF">
      <w:pPr>
        <w:ind w:left="720" w:hanging="720"/>
        <w:rPr>
          <w:rFonts w:ascii="Times New Roman" w:hAnsi="Times New Roman" w:cs="Times New Roman"/>
        </w:rPr>
      </w:pPr>
      <w:r w:rsidRPr="007C56DF">
        <w:rPr>
          <w:rFonts w:ascii="Times New Roman" w:hAnsi="Times New Roman" w:cs="Times New Roman"/>
        </w:rPr>
        <w:t>NALP (2013).  Starting salaries - Class of 2011.  DOI:  http://www.nalp.org/starting_salaries_class_of_2011</w:t>
      </w:r>
    </w:p>
    <w:p w14:paraId="43C8B725" w14:textId="4DD6E316" w:rsidR="004F65FD" w:rsidRPr="007C56DF" w:rsidRDefault="004F65FD" w:rsidP="007C56DF">
      <w:pPr>
        <w:ind w:left="720" w:hanging="720"/>
        <w:rPr>
          <w:rFonts w:ascii="Times New Roman" w:hAnsi="Times New Roman" w:cs="Times New Roman"/>
        </w:rPr>
      </w:pPr>
      <w:r w:rsidRPr="007C56DF">
        <w:rPr>
          <w:rFonts w:ascii="Times New Roman" w:hAnsi="Times New Roman" w:cs="Times New Roman"/>
        </w:rPr>
        <w:t xml:space="preserve">NEA Collective Bargaining, 2012.  DOI:  </w:t>
      </w:r>
      <w:r w:rsidRPr="005B591E">
        <w:rPr>
          <w:rFonts w:ascii="Times New Roman" w:hAnsi="Times New Roman" w:cs="Times New Roman"/>
        </w:rPr>
        <w:t>http://www.nea.org/home/2011-2012-average-starting-teacher-salary.html</w:t>
      </w:r>
    </w:p>
    <w:p w14:paraId="0626EAA0" w14:textId="77777777" w:rsidR="004F65FD" w:rsidRPr="005B591E" w:rsidRDefault="004F65FD" w:rsidP="007C56DF">
      <w:pPr>
        <w:ind w:left="720" w:hanging="720"/>
        <w:rPr>
          <w:rFonts w:ascii="Times New Roman" w:hAnsi="Times New Roman" w:cs="Times New Roman"/>
          <w:color w:val="000000" w:themeColor="text1"/>
        </w:rPr>
      </w:pPr>
      <w:r w:rsidRPr="007C56DF">
        <w:rPr>
          <w:rFonts w:ascii="Times New Roman" w:hAnsi="Times New Roman" w:cs="Times New Roman"/>
        </w:rPr>
        <w:t xml:space="preserve">Noell, G. H., Brownell, M. T, Buzick, H. M., &amp; Jones, N. D. (2014). </w:t>
      </w:r>
      <w:r w:rsidRPr="007C56DF">
        <w:rPr>
          <w:rFonts w:ascii="Times New Roman" w:hAnsi="Times New Roman" w:cs="Times New Roman"/>
          <w:i/>
          <w:iCs/>
        </w:rPr>
        <w:t xml:space="preserve">Using educator effectiveness measures to improve educator preparation programs and student outcomes </w:t>
      </w:r>
      <w:r w:rsidRPr="007C56DF">
        <w:rPr>
          <w:rFonts w:ascii="Times New Roman" w:hAnsi="Times New Roman" w:cs="Times New Roman"/>
        </w:rPr>
        <w:t xml:space="preserve">(Document </w:t>
      </w:r>
      <w:r w:rsidRPr="007C56DF">
        <w:rPr>
          <w:rFonts w:ascii="Times New Roman" w:hAnsi="Times New Roman" w:cs="Times New Roman"/>
        </w:rPr>
        <w:lastRenderedPageBreak/>
        <w:t xml:space="preserve">No. LS-1). Retrieved from University of Florida, Collaboration for Effective Educator, Development, Accountability, and Reform Center website: </w:t>
      </w:r>
      <w:r w:rsidRPr="005B591E">
        <w:rPr>
          <w:rFonts w:ascii="Times New Roman" w:hAnsi="Times New Roman" w:cs="Times New Roman"/>
          <w:color w:val="000000" w:themeColor="text1"/>
        </w:rPr>
        <w:t>http://ceedar.education.ufl.edu/tools/literature-syntheses/</w:t>
      </w:r>
    </w:p>
    <w:p w14:paraId="1E03A9FC" w14:textId="77777777" w:rsidR="004F65FD" w:rsidRPr="007C56DF" w:rsidRDefault="004F65FD" w:rsidP="007C56DF">
      <w:pPr>
        <w:ind w:left="720" w:hanging="720"/>
        <w:rPr>
          <w:rFonts w:ascii="Times New Roman" w:hAnsi="Times New Roman" w:cs="Times New Roman"/>
        </w:rPr>
      </w:pPr>
      <w:r w:rsidRPr="007C56DF">
        <w:rPr>
          <w:rFonts w:ascii="Times New Roman" w:hAnsi="Times New Roman" w:cs="Times New Roman"/>
        </w:rPr>
        <w:t>OECD (2013). Lessons from PISA 2012 for the United States, Strong Performers and Successful Reformers in Education.  OECD Publishing:  http://dx.doi.org/10.1787/9789264207585-en</w:t>
      </w:r>
    </w:p>
    <w:p w14:paraId="0D9CE252" w14:textId="77777777" w:rsidR="004F65FD" w:rsidRPr="007C56DF" w:rsidRDefault="004F65FD" w:rsidP="007C56DF">
      <w:pPr>
        <w:ind w:left="720" w:hanging="720"/>
        <w:rPr>
          <w:rFonts w:ascii="Times New Roman" w:hAnsi="Times New Roman" w:cs="Times New Roman"/>
          <w:noProof/>
        </w:rPr>
      </w:pPr>
      <w:r w:rsidRPr="007C56DF">
        <w:rPr>
          <w:rFonts w:ascii="Times New Roman" w:hAnsi="Times New Roman" w:cs="Times New Roman"/>
          <w:noProof/>
        </w:rPr>
        <w:t>Office of Special Education Programs  (2014).</w:t>
      </w:r>
      <w:r w:rsidRPr="007C56DF">
        <w:rPr>
          <w:rFonts w:ascii="Times New Roman" w:hAnsi="Times New Roman" w:cs="Times New Roman"/>
          <w:i/>
          <w:noProof/>
        </w:rPr>
        <w:t xml:space="preserve">  35th Annual Report to Congress on the Implementation of the Individuals with Disabilities Education Act</w:t>
      </w:r>
      <w:r w:rsidRPr="007C56DF">
        <w:rPr>
          <w:rFonts w:ascii="Times New Roman" w:hAnsi="Times New Roman" w:cs="Times New Roman"/>
          <w:noProof/>
        </w:rPr>
        <w:t>, 2013.  U.S. Department of Education, Office of Special Education and Rehabilitative Services, Office of Special Education Programs, Washington, D.C..</w:t>
      </w:r>
    </w:p>
    <w:p w14:paraId="56A318FD" w14:textId="77777777" w:rsidR="004F65FD" w:rsidRPr="007C56DF" w:rsidRDefault="004F65FD" w:rsidP="007C56DF">
      <w:pPr>
        <w:ind w:left="720" w:hanging="720"/>
        <w:rPr>
          <w:rFonts w:ascii="Times New Roman" w:hAnsi="Times New Roman" w:cs="Times New Roman"/>
        </w:rPr>
      </w:pPr>
      <w:r w:rsidRPr="007C56DF">
        <w:rPr>
          <w:rFonts w:ascii="Times New Roman" w:hAnsi="Times New Roman" w:cs="Times New Roman"/>
        </w:rPr>
        <w:t xml:space="preserve">Orfield, G. &amp; Frankenberg, E. (2014).  </w:t>
      </w:r>
      <w:r w:rsidRPr="007C56DF">
        <w:rPr>
          <w:rFonts w:ascii="Times New Roman" w:hAnsi="Times New Roman" w:cs="Times New Roman"/>
          <w:i/>
        </w:rPr>
        <w:t>Brown at 60:  Great progress, a long retreat, and an uncertain future</w:t>
      </w:r>
      <w:r w:rsidRPr="007C56DF">
        <w:rPr>
          <w:rFonts w:ascii="Times New Roman" w:hAnsi="Times New Roman" w:cs="Times New Roman"/>
        </w:rPr>
        <w:t>.  Los Angeles:  The UCLA Civil Right Project.</w:t>
      </w:r>
    </w:p>
    <w:p w14:paraId="4A027A66" w14:textId="77777777" w:rsidR="004F65FD" w:rsidRPr="007C56DF" w:rsidRDefault="004F65FD" w:rsidP="007C56DF">
      <w:pPr>
        <w:ind w:left="720" w:hanging="720"/>
        <w:rPr>
          <w:rFonts w:ascii="Times New Roman" w:hAnsi="Times New Roman" w:cs="Times New Roman"/>
          <w:shd w:val="clear" w:color="auto" w:fill="FFFFFF"/>
        </w:rPr>
      </w:pPr>
      <w:r w:rsidRPr="007C56DF">
        <w:rPr>
          <w:rFonts w:ascii="Times New Roman" w:hAnsi="Times New Roman" w:cs="Times New Roman"/>
          <w:shd w:val="clear" w:color="auto" w:fill="FFFFFF"/>
        </w:rPr>
        <w:t>Paris, D., &amp; Alim, H. S. (2014). What are we seeking to sustain through culturally sustaining pedagogy? A loving critique forward.</w:t>
      </w:r>
      <w:r w:rsidRPr="007C56DF">
        <w:rPr>
          <w:rFonts w:ascii="Times New Roman" w:hAnsi="Times New Roman" w:cs="Times New Roman"/>
          <w:color w:val="222222"/>
          <w:shd w:val="clear" w:color="auto" w:fill="FFFFFF"/>
        </w:rPr>
        <w:t> </w:t>
      </w:r>
      <w:r w:rsidRPr="007C56DF">
        <w:rPr>
          <w:rFonts w:ascii="Times New Roman" w:hAnsi="Times New Roman" w:cs="Times New Roman"/>
          <w:i/>
          <w:iCs/>
          <w:shd w:val="clear" w:color="auto" w:fill="FFFFFF"/>
        </w:rPr>
        <w:t>Harvard Educational Review</w:t>
      </w:r>
      <w:r w:rsidRPr="007C56DF">
        <w:rPr>
          <w:rFonts w:ascii="Times New Roman" w:hAnsi="Times New Roman" w:cs="Times New Roman"/>
          <w:shd w:val="clear" w:color="auto" w:fill="FFFFFF"/>
        </w:rPr>
        <w:t>,</w:t>
      </w:r>
      <w:r w:rsidRPr="007C56DF">
        <w:rPr>
          <w:rFonts w:ascii="Times New Roman" w:hAnsi="Times New Roman" w:cs="Times New Roman"/>
          <w:color w:val="222222"/>
          <w:shd w:val="clear" w:color="auto" w:fill="FFFFFF"/>
        </w:rPr>
        <w:t> </w:t>
      </w:r>
      <w:r w:rsidRPr="007C56DF">
        <w:rPr>
          <w:rFonts w:ascii="Times New Roman" w:hAnsi="Times New Roman" w:cs="Times New Roman"/>
          <w:i/>
          <w:iCs/>
          <w:shd w:val="clear" w:color="auto" w:fill="FFFFFF"/>
        </w:rPr>
        <w:t>84</w:t>
      </w:r>
      <w:r w:rsidRPr="007C56DF">
        <w:rPr>
          <w:rFonts w:ascii="Times New Roman" w:hAnsi="Times New Roman" w:cs="Times New Roman"/>
          <w:shd w:val="clear" w:color="auto" w:fill="FFFFFF"/>
        </w:rPr>
        <w:t>(1), 85-100.</w:t>
      </w:r>
    </w:p>
    <w:p w14:paraId="5C1E88C0" w14:textId="77777777" w:rsidR="004F65FD" w:rsidRPr="007C56DF" w:rsidRDefault="004F65FD" w:rsidP="007C56DF">
      <w:pPr>
        <w:ind w:left="720" w:hanging="720"/>
        <w:rPr>
          <w:rFonts w:ascii="Times New Roman" w:hAnsi="Times New Roman" w:cs="Times New Roman"/>
        </w:rPr>
      </w:pPr>
      <w:r w:rsidRPr="007C56DF">
        <w:rPr>
          <w:rFonts w:ascii="Times New Roman" w:hAnsi="Times New Roman" w:cs="Times New Roman"/>
        </w:rPr>
        <w:t xml:space="preserve">Pugach, M. C. &amp; Blanton, L. P. (2009).  A framework for conducting research on collaborative teacher education.  </w:t>
      </w:r>
      <w:r w:rsidRPr="007C56DF">
        <w:rPr>
          <w:rFonts w:ascii="Times New Roman" w:hAnsi="Times New Roman" w:cs="Times New Roman"/>
          <w:i/>
        </w:rPr>
        <w:t xml:space="preserve">Teaching and Teacher Education, 25, </w:t>
      </w:r>
      <w:r w:rsidRPr="007C56DF">
        <w:rPr>
          <w:rFonts w:ascii="Times New Roman" w:hAnsi="Times New Roman" w:cs="Times New Roman"/>
        </w:rPr>
        <w:t>575-582.</w:t>
      </w:r>
    </w:p>
    <w:p w14:paraId="1A710498" w14:textId="77777777" w:rsidR="004F65FD" w:rsidRPr="007C56DF" w:rsidRDefault="004F65FD" w:rsidP="007C56DF">
      <w:pPr>
        <w:ind w:left="720" w:hanging="720"/>
        <w:rPr>
          <w:rFonts w:ascii="Times New Roman" w:hAnsi="Times New Roman" w:cs="Times New Roman"/>
          <w:i/>
        </w:rPr>
      </w:pPr>
      <w:r w:rsidRPr="007C56DF">
        <w:rPr>
          <w:rFonts w:ascii="Times New Roman" w:hAnsi="Times New Roman" w:cs="Times New Roman"/>
        </w:rPr>
        <w:t xml:space="preserve">Pugach, M. C. &amp; Blanton, L. P. (2012).  Enacting diversity in dual certification programs.  </w:t>
      </w:r>
      <w:r w:rsidRPr="007C56DF">
        <w:rPr>
          <w:rFonts w:ascii="Times New Roman" w:hAnsi="Times New Roman" w:cs="Times New Roman"/>
          <w:i/>
        </w:rPr>
        <w:t xml:space="preserve">Journal of Teacher Education, 63, </w:t>
      </w:r>
      <w:r w:rsidRPr="007C56DF">
        <w:rPr>
          <w:rFonts w:ascii="Times New Roman" w:hAnsi="Times New Roman" w:cs="Times New Roman"/>
        </w:rPr>
        <w:t>254-267</w:t>
      </w:r>
      <w:r w:rsidRPr="007C56DF">
        <w:rPr>
          <w:rFonts w:ascii="Times New Roman" w:hAnsi="Times New Roman" w:cs="Times New Roman"/>
          <w:i/>
        </w:rPr>
        <w:t>.</w:t>
      </w:r>
    </w:p>
    <w:p w14:paraId="7CCA02B2" w14:textId="77777777" w:rsidR="004F65FD" w:rsidRPr="007C56DF" w:rsidRDefault="004F65FD" w:rsidP="007C56DF">
      <w:pPr>
        <w:ind w:left="720" w:hanging="720"/>
        <w:rPr>
          <w:rFonts w:ascii="Times New Roman" w:hAnsi="Times New Roman" w:cs="Times New Roman"/>
        </w:rPr>
      </w:pPr>
      <w:r w:rsidRPr="007C56DF">
        <w:rPr>
          <w:rFonts w:ascii="Times New Roman" w:hAnsi="Times New Roman" w:cs="Times New Roman"/>
        </w:rPr>
        <w:t xml:space="preserve">Pugach, M. C. &amp; Blanton, L. P. (2014).  Inquiry and community:  Uncommon opportunities to enrich professional development for inclusion.  In L. Florian (ed.), </w:t>
      </w:r>
      <w:r w:rsidRPr="007C56DF">
        <w:rPr>
          <w:rFonts w:ascii="Times New Roman" w:hAnsi="Times New Roman" w:cs="Times New Roman"/>
          <w:i/>
        </w:rPr>
        <w:t>The SAGE Handbook of Special Education</w:t>
      </w:r>
      <w:r w:rsidRPr="007C56DF">
        <w:rPr>
          <w:rFonts w:ascii="Times New Roman" w:hAnsi="Times New Roman" w:cs="Times New Roman"/>
        </w:rPr>
        <w:t xml:space="preserve"> (pp. 873-888).  London:  Sage Publications.</w:t>
      </w:r>
    </w:p>
    <w:p w14:paraId="6CD671CE" w14:textId="77777777" w:rsidR="004F65FD" w:rsidRPr="007C56DF" w:rsidRDefault="004F65FD" w:rsidP="007C56DF">
      <w:pPr>
        <w:ind w:left="720" w:hanging="720"/>
        <w:rPr>
          <w:rFonts w:ascii="Times New Roman" w:hAnsi="Times New Roman" w:cs="Times New Roman"/>
        </w:rPr>
      </w:pPr>
      <w:r w:rsidRPr="007C56DF">
        <w:rPr>
          <w:rFonts w:ascii="Times New Roman" w:hAnsi="Times New Roman" w:cs="Times New Roman"/>
        </w:rPr>
        <w:t xml:space="preserve">Pugach, M. C., Blanton, L. P. &amp; Boveda, M. (2014).  Working together:  Research on the preparation of general education and special education teachers for inclusion and </w:t>
      </w:r>
      <w:r w:rsidRPr="007C56DF">
        <w:rPr>
          <w:rFonts w:ascii="Times New Roman" w:hAnsi="Times New Roman" w:cs="Times New Roman"/>
        </w:rPr>
        <w:lastRenderedPageBreak/>
        <w:t xml:space="preserve">collaboration.  In P.T. Sindelar, E. D. McCray, M. T. Brownell, B. Lingugaris/Kraft (eds.), </w:t>
      </w:r>
      <w:r w:rsidRPr="007C56DF">
        <w:rPr>
          <w:rFonts w:ascii="Times New Roman" w:hAnsi="Times New Roman" w:cs="Times New Roman"/>
          <w:i/>
        </w:rPr>
        <w:t>Handbook of Research on Special Education Teacher Preparation</w:t>
      </w:r>
      <w:r w:rsidRPr="007C56DF">
        <w:rPr>
          <w:rFonts w:ascii="Times New Roman" w:hAnsi="Times New Roman" w:cs="Times New Roman"/>
        </w:rPr>
        <w:t xml:space="preserve"> (pp. 143-160). New York:  Routledge.</w:t>
      </w:r>
    </w:p>
    <w:p w14:paraId="79D8D183" w14:textId="77777777" w:rsidR="004F65FD" w:rsidRPr="007C56DF" w:rsidRDefault="004F65FD" w:rsidP="007C56DF">
      <w:pPr>
        <w:ind w:left="720" w:hanging="720"/>
        <w:rPr>
          <w:rFonts w:ascii="Times New Roman" w:hAnsi="Times New Roman" w:cs="Times New Roman"/>
        </w:rPr>
      </w:pPr>
      <w:r w:rsidRPr="007C56DF">
        <w:rPr>
          <w:rFonts w:ascii="Times New Roman" w:hAnsi="Times New Roman" w:cs="Times New Roman"/>
        </w:rPr>
        <w:t xml:space="preserve">Pugach, M. L. (2005).  Research on preparing general education teachers to work with students with disabilities.  In M. Cochran-Smith &amp; K. M. Zeichner (eds.), </w:t>
      </w:r>
      <w:r w:rsidRPr="007C56DF">
        <w:rPr>
          <w:rFonts w:ascii="Times New Roman" w:hAnsi="Times New Roman" w:cs="Times New Roman"/>
          <w:i/>
        </w:rPr>
        <w:t>Studying teacher education:  The report of the AERA panel on research and teacher education</w:t>
      </w:r>
      <w:r w:rsidRPr="007C56DF">
        <w:rPr>
          <w:rFonts w:ascii="Times New Roman" w:hAnsi="Times New Roman" w:cs="Times New Roman"/>
        </w:rPr>
        <w:t xml:space="preserve">.  Mahwah, New Jersey:  Lawrence Erlbaum Associates.  </w:t>
      </w:r>
    </w:p>
    <w:p w14:paraId="0DEA7B2A" w14:textId="77777777" w:rsidR="004F65FD" w:rsidRPr="007C56DF" w:rsidRDefault="004F65FD" w:rsidP="007C56DF">
      <w:pPr>
        <w:ind w:left="720" w:hanging="720"/>
        <w:rPr>
          <w:rFonts w:ascii="Times New Roman" w:hAnsi="Times New Roman" w:cs="Times New Roman"/>
          <w:color w:val="000000"/>
        </w:rPr>
      </w:pPr>
      <w:r w:rsidRPr="007C56DF">
        <w:rPr>
          <w:rFonts w:ascii="Times New Roman" w:hAnsi="Times New Roman" w:cs="Times New Roman"/>
          <w:color w:val="000000"/>
        </w:rPr>
        <w:t xml:space="preserve">Putnam, R. T. &amp; Borko, H (2001).  What do new views of knowledge and thinking have to say about research on teacher learning? </w:t>
      </w:r>
      <w:r w:rsidRPr="007C56DF">
        <w:rPr>
          <w:rFonts w:ascii="Times New Roman" w:hAnsi="Times New Roman" w:cs="Times New Roman"/>
          <w:i/>
          <w:color w:val="000000"/>
        </w:rPr>
        <w:t>Educational Researcher</w:t>
      </w:r>
      <w:r w:rsidRPr="007C56DF">
        <w:rPr>
          <w:rFonts w:ascii="Times New Roman" w:hAnsi="Times New Roman" w:cs="Times New Roman"/>
          <w:color w:val="000000"/>
        </w:rPr>
        <w:t>, 29, 4-15.</w:t>
      </w:r>
    </w:p>
    <w:p w14:paraId="7783B560" w14:textId="77777777" w:rsidR="004F65FD" w:rsidRPr="007C56DF" w:rsidRDefault="004F65FD" w:rsidP="007C56DF">
      <w:pPr>
        <w:ind w:left="720" w:hanging="720"/>
        <w:rPr>
          <w:rFonts w:ascii="Times New Roman" w:hAnsi="Times New Roman" w:cs="Times New Roman"/>
        </w:rPr>
      </w:pPr>
      <w:r w:rsidRPr="007C56DF">
        <w:rPr>
          <w:rFonts w:ascii="Times New Roman" w:hAnsi="Times New Roman" w:cs="Times New Roman"/>
        </w:rPr>
        <w:t xml:space="preserve">Rothman, R. (2012).  Nine ways the common core will change classroom practice.  </w:t>
      </w:r>
      <w:r w:rsidRPr="007C56DF">
        <w:rPr>
          <w:rFonts w:ascii="Times New Roman" w:hAnsi="Times New Roman" w:cs="Times New Roman"/>
          <w:i/>
        </w:rPr>
        <w:t>Harvard Education Letter</w:t>
      </w:r>
      <w:r w:rsidRPr="007C56DF">
        <w:rPr>
          <w:rFonts w:ascii="Times New Roman" w:hAnsi="Times New Roman" w:cs="Times New Roman"/>
        </w:rPr>
        <w:t xml:space="preserve">, </w:t>
      </w:r>
      <w:r w:rsidRPr="007C56DF">
        <w:rPr>
          <w:rFonts w:ascii="Times New Roman" w:hAnsi="Times New Roman" w:cs="Times New Roman"/>
          <w:i/>
        </w:rPr>
        <w:t>28</w:t>
      </w:r>
      <w:r w:rsidRPr="007C56DF">
        <w:rPr>
          <w:rFonts w:ascii="Times New Roman" w:hAnsi="Times New Roman" w:cs="Times New Roman"/>
        </w:rPr>
        <w:t xml:space="preserve"> (4).</w:t>
      </w:r>
    </w:p>
    <w:p w14:paraId="12D209C8" w14:textId="77777777" w:rsidR="004F65FD" w:rsidRPr="007C56DF" w:rsidRDefault="004F65FD" w:rsidP="007C56DF">
      <w:pPr>
        <w:ind w:left="720" w:hanging="720"/>
        <w:rPr>
          <w:rFonts w:ascii="Times New Roman" w:hAnsi="Times New Roman" w:cs="Times New Roman"/>
        </w:rPr>
      </w:pPr>
      <w:r w:rsidRPr="007C56DF">
        <w:rPr>
          <w:rFonts w:ascii="Times New Roman" w:hAnsi="Times New Roman" w:cs="Times New Roman"/>
        </w:rPr>
        <w:t xml:space="preserve">Senge, P. M. (1990).  </w:t>
      </w:r>
      <w:r w:rsidRPr="007C56DF">
        <w:rPr>
          <w:rFonts w:ascii="Times New Roman" w:hAnsi="Times New Roman" w:cs="Times New Roman"/>
          <w:i/>
        </w:rPr>
        <w:t xml:space="preserve">The fifth discipline:  The art and practice of the learning organization.  </w:t>
      </w:r>
      <w:r w:rsidRPr="007C56DF">
        <w:rPr>
          <w:rFonts w:ascii="Times New Roman" w:hAnsi="Times New Roman" w:cs="Times New Roman"/>
        </w:rPr>
        <w:t xml:space="preserve">New York:  Doubleday.  </w:t>
      </w:r>
    </w:p>
    <w:p w14:paraId="1ECDF255" w14:textId="77777777" w:rsidR="004F65FD" w:rsidRPr="007C56DF" w:rsidRDefault="004F65FD" w:rsidP="007C56DF">
      <w:pPr>
        <w:ind w:left="720" w:hanging="720"/>
        <w:rPr>
          <w:rFonts w:ascii="Times New Roman" w:hAnsi="Times New Roman" w:cs="Times New Roman"/>
          <w:sz w:val="32"/>
        </w:rPr>
      </w:pPr>
      <w:r w:rsidRPr="007C56DF">
        <w:rPr>
          <w:rFonts w:ascii="Times New Roman" w:hAnsi="Times New Roman" w:cs="Times New Roman"/>
          <w:color w:val="222222"/>
          <w:szCs w:val="20"/>
          <w:shd w:val="clear" w:color="auto" w:fill="FFFFFF"/>
        </w:rPr>
        <w:t>Soja, E. W. (1996).</w:t>
      </w:r>
      <w:r w:rsidRPr="007C56DF">
        <w:rPr>
          <w:rStyle w:val="apple-converted-space"/>
          <w:rFonts w:ascii="Times New Roman" w:hAnsi="Times New Roman" w:cs="Times New Roman"/>
          <w:color w:val="222222"/>
          <w:szCs w:val="20"/>
          <w:shd w:val="clear" w:color="auto" w:fill="FFFFFF"/>
        </w:rPr>
        <w:t> </w:t>
      </w:r>
      <w:r w:rsidRPr="007C56DF">
        <w:rPr>
          <w:rFonts w:ascii="Times New Roman" w:hAnsi="Times New Roman" w:cs="Times New Roman"/>
          <w:i/>
          <w:iCs/>
          <w:color w:val="222222"/>
          <w:szCs w:val="20"/>
          <w:shd w:val="clear" w:color="auto" w:fill="FFFFFF"/>
        </w:rPr>
        <w:t>Thirdspace: Journeys to Los Angeles and other real-and-imagined places</w:t>
      </w:r>
      <w:r w:rsidRPr="007C56DF">
        <w:rPr>
          <w:rFonts w:ascii="Times New Roman" w:hAnsi="Times New Roman" w:cs="Times New Roman"/>
          <w:color w:val="222222"/>
          <w:szCs w:val="20"/>
          <w:shd w:val="clear" w:color="auto" w:fill="FFFFFF"/>
        </w:rPr>
        <w:t>. Oxford: Blackwell.</w:t>
      </w:r>
    </w:p>
    <w:p w14:paraId="5DD674F4" w14:textId="77777777" w:rsidR="004F65FD" w:rsidRPr="007C56DF" w:rsidRDefault="004F65FD" w:rsidP="007C56DF">
      <w:pPr>
        <w:ind w:left="720" w:hanging="720"/>
        <w:rPr>
          <w:rFonts w:ascii="Times New Roman" w:hAnsi="Times New Roman" w:cs="Times New Roman"/>
          <w:noProof/>
        </w:rPr>
      </w:pPr>
      <w:bookmarkStart w:id="8" w:name="_ENREF_8"/>
      <w:r w:rsidRPr="007C56DF">
        <w:rPr>
          <w:rFonts w:ascii="Times New Roman" w:hAnsi="Times New Roman" w:cs="Times New Roman"/>
          <w:noProof/>
        </w:rPr>
        <w:t xml:space="preserve">Spillane, J., Gomez, L. M., &amp; Mesler, L. . (2009). Notes on reframing the role of organizations in policy implementation:  Resources for practice, in practice. In G. Sykes, Schneider, B. &amp; Plank, D. N. with Ford, T. G. (Ed.), </w:t>
      </w:r>
      <w:r w:rsidRPr="007C56DF">
        <w:rPr>
          <w:rFonts w:ascii="Times New Roman" w:hAnsi="Times New Roman" w:cs="Times New Roman"/>
          <w:i/>
          <w:noProof/>
        </w:rPr>
        <w:t>Handbooks of Education Policy Research</w:t>
      </w:r>
      <w:r w:rsidRPr="007C56DF">
        <w:rPr>
          <w:rFonts w:ascii="Times New Roman" w:hAnsi="Times New Roman" w:cs="Times New Roman"/>
          <w:noProof/>
        </w:rPr>
        <w:t>. New York: Routledge.</w:t>
      </w:r>
      <w:bookmarkEnd w:id="8"/>
    </w:p>
    <w:p w14:paraId="075198D3" w14:textId="743F3B6A" w:rsidR="004F65FD" w:rsidRPr="007C56DF" w:rsidRDefault="004F65FD" w:rsidP="007C56DF">
      <w:pPr>
        <w:ind w:left="720" w:hanging="720"/>
        <w:rPr>
          <w:rFonts w:ascii="Times New Roman" w:hAnsi="Times New Roman" w:cs="Times New Roman"/>
        </w:rPr>
      </w:pPr>
      <w:r w:rsidRPr="007C56DF">
        <w:rPr>
          <w:rFonts w:ascii="Times New Roman" w:hAnsi="Times New Roman" w:cs="Times New Roman"/>
        </w:rPr>
        <w:t xml:space="preserve">Stetser, M. C. &amp; Stillwell, R. (2014).  Public high school four-year on-time graduation rates and event dropout rates:  School years 2010-11 and 2011-12.  First Look (NCES 2014-391). U.S. Department of Education. Washington, DC:   National Center for Education Statistics. Retrieved [8.4.2014] from </w:t>
      </w:r>
      <w:r w:rsidRPr="00E526C2">
        <w:rPr>
          <w:rFonts w:ascii="Times New Roman" w:hAnsi="Times New Roman" w:cs="Times New Roman"/>
          <w:color w:val="000000" w:themeColor="text1"/>
          <w:u w:val="single"/>
        </w:rPr>
        <w:t>http://nces.ed.gov/pubsearch</w:t>
      </w:r>
      <w:r w:rsidRPr="00E526C2">
        <w:rPr>
          <w:rFonts w:ascii="Times New Roman" w:hAnsi="Times New Roman" w:cs="Times New Roman"/>
          <w:color w:val="000000" w:themeColor="text1"/>
        </w:rPr>
        <w:t>.</w:t>
      </w:r>
    </w:p>
    <w:p w14:paraId="60608482" w14:textId="0BB91319" w:rsidR="004F65FD" w:rsidRPr="007C56DF" w:rsidRDefault="008A54A7" w:rsidP="007C56DF">
      <w:pPr>
        <w:ind w:left="720" w:hanging="720"/>
        <w:rPr>
          <w:rFonts w:ascii="Times New Roman" w:hAnsi="Times New Roman" w:cs="Times New Roman"/>
          <w:i/>
          <w:iCs/>
        </w:rPr>
      </w:pPr>
      <w:r>
        <w:rPr>
          <w:rFonts w:ascii="Times New Roman" w:hAnsi="Times New Roman" w:cs="Times New Roman"/>
          <w:iCs/>
        </w:rPr>
        <w:lastRenderedPageBreak/>
        <w:t>Strein, W.,</w:t>
      </w:r>
      <w:r w:rsidR="004F65FD" w:rsidRPr="007C56DF">
        <w:rPr>
          <w:rFonts w:ascii="Times New Roman" w:hAnsi="Times New Roman" w:cs="Times New Roman"/>
          <w:iCs/>
        </w:rPr>
        <w:t>Hoagwood. K., &amp; Cohn, A. (2003). School psychology: A public health perspective.</w:t>
      </w:r>
      <w:r w:rsidR="004F65FD" w:rsidRPr="007C56DF">
        <w:rPr>
          <w:rFonts w:ascii="Times New Roman" w:hAnsi="Times New Roman" w:cs="Times New Roman"/>
          <w:i/>
          <w:iCs/>
        </w:rPr>
        <w:t xml:space="preserve"> Journal of School Psychology, 41, 23-38.</w:t>
      </w:r>
    </w:p>
    <w:p w14:paraId="71C84F5B" w14:textId="77777777" w:rsidR="004F65FD" w:rsidRPr="007C56DF" w:rsidRDefault="004F65FD" w:rsidP="007C56DF">
      <w:pPr>
        <w:ind w:left="720" w:hanging="720"/>
        <w:rPr>
          <w:rFonts w:ascii="Times New Roman" w:hAnsi="Times New Roman" w:cs="Times New Roman"/>
          <w:noProof/>
        </w:rPr>
      </w:pPr>
      <w:r w:rsidRPr="007C56DF">
        <w:rPr>
          <w:rFonts w:ascii="Times New Roman" w:hAnsi="Times New Roman" w:cs="Times New Roman"/>
          <w:noProof/>
        </w:rPr>
        <w:t xml:space="preserve">Turnbull, A., Edmonson, H., Grigs, P., Wickham, D., Sailor, W., Freeman, R., Guess, D., Lassen, S., McCart, A., Park, J., Rifel, L., Tumbull, R., &amp; Warren, J. (2002). A blueprint for schoolwide positve behavior support: Implementation of three components. </w:t>
      </w:r>
      <w:r w:rsidRPr="007C56DF">
        <w:rPr>
          <w:rFonts w:ascii="Times New Roman" w:hAnsi="Times New Roman" w:cs="Times New Roman"/>
          <w:i/>
          <w:noProof/>
        </w:rPr>
        <w:t>Exceptional Children</w:t>
      </w:r>
      <w:r w:rsidRPr="007C56DF">
        <w:rPr>
          <w:rFonts w:ascii="Times New Roman" w:hAnsi="Times New Roman" w:cs="Times New Roman"/>
          <w:noProof/>
        </w:rPr>
        <w:t xml:space="preserve">, </w:t>
      </w:r>
      <w:r w:rsidRPr="007C56DF">
        <w:rPr>
          <w:rFonts w:ascii="Times New Roman" w:hAnsi="Times New Roman" w:cs="Times New Roman"/>
          <w:i/>
          <w:noProof/>
        </w:rPr>
        <w:t>68</w:t>
      </w:r>
      <w:r w:rsidRPr="007C56DF">
        <w:rPr>
          <w:rFonts w:ascii="Times New Roman" w:hAnsi="Times New Roman" w:cs="Times New Roman"/>
          <w:noProof/>
        </w:rPr>
        <w:t xml:space="preserve"> (3), 37-402</w:t>
      </w:r>
    </w:p>
    <w:p w14:paraId="2C9957FC" w14:textId="77777777" w:rsidR="004F65FD" w:rsidRPr="007C56DF" w:rsidRDefault="004F65FD" w:rsidP="007C56DF">
      <w:pPr>
        <w:ind w:left="720" w:hanging="720"/>
        <w:rPr>
          <w:rFonts w:ascii="Times New Roman" w:hAnsi="Times New Roman" w:cs="Times New Roman"/>
        </w:rPr>
      </w:pPr>
      <w:r w:rsidRPr="007C56DF">
        <w:rPr>
          <w:rFonts w:ascii="Times New Roman" w:hAnsi="Times New Roman" w:cs="Times New Roman"/>
        </w:rPr>
        <w:t xml:space="preserve">Vanneman, A., Hamilton, L., Baldwin Anderson, J., &amp; Rahman, T. (2009). </w:t>
      </w:r>
      <w:r w:rsidRPr="007C56DF">
        <w:rPr>
          <w:rFonts w:ascii="Times New Roman" w:hAnsi="Times New Roman" w:cs="Times New Roman"/>
          <w:i/>
        </w:rPr>
        <w:t>Achievement Gaps: How Black and White Students in Public Schools Perform in Mathematics and Reading on the National Assessment of Educational Progress</w:t>
      </w:r>
      <w:r w:rsidRPr="007C56DF">
        <w:rPr>
          <w:rFonts w:ascii="Times New Roman" w:hAnsi="Times New Roman" w:cs="Times New Roman"/>
        </w:rPr>
        <w:t>, (NCES 2009-455). National Center for Education Statistics, Institute of Education Sciences, U.S. Department of Education. Washington, DC.</w:t>
      </w:r>
    </w:p>
    <w:p w14:paraId="11D13731" w14:textId="77777777" w:rsidR="004F65FD" w:rsidRPr="007C56DF" w:rsidRDefault="004F65FD" w:rsidP="007C56DF">
      <w:pPr>
        <w:shd w:val="clear" w:color="auto" w:fill="FFFFFF" w:themeFill="background1"/>
        <w:ind w:left="720" w:hanging="720"/>
        <w:rPr>
          <w:rFonts w:ascii="Times New Roman" w:hAnsi="Times New Roman" w:cs="Times New Roman"/>
        </w:rPr>
      </w:pPr>
      <w:r w:rsidRPr="007C56DF">
        <w:rPr>
          <w:rFonts w:ascii="Times New Roman" w:hAnsi="Times New Roman" w:cs="Times New Roman"/>
        </w:rPr>
        <w:t>Walker, H. M., Horner, R. H., Sugai, G., Bullis, M., Sprague, J., Bricker, D., &amp; Kaufman, M. H. (1996). Integrated approaches to preventing antisocial behavior patterns among school-age children and youth. </w:t>
      </w:r>
      <w:r w:rsidRPr="007C56DF">
        <w:rPr>
          <w:rFonts w:ascii="Times New Roman" w:hAnsi="Times New Roman" w:cs="Times New Roman"/>
          <w:i/>
          <w:iCs/>
        </w:rPr>
        <w:t>Journal of Emotional and Behavioral Disorders, 4</w:t>
      </w:r>
      <w:r w:rsidRPr="007C56DF">
        <w:rPr>
          <w:rFonts w:ascii="Times New Roman" w:hAnsi="Times New Roman" w:cs="Times New Roman"/>
        </w:rPr>
        <w:t>, 194-209. doi:10.1177/10634266960040040</w:t>
      </w:r>
    </w:p>
    <w:p w14:paraId="223F01B5" w14:textId="77777777" w:rsidR="004F65FD" w:rsidRPr="007C56DF" w:rsidRDefault="004F65FD" w:rsidP="007C56DF">
      <w:pPr>
        <w:shd w:val="clear" w:color="auto" w:fill="FFFFFF" w:themeFill="background1"/>
        <w:ind w:left="720" w:hanging="720"/>
        <w:rPr>
          <w:rFonts w:ascii="Times New Roman" w:hAnsi="Times New Roman" w:cs="Times New Roman"/>
          <w:color w:val="222222"/>
          <w:shd w:val="clear" w:color="auto" w:fill="FFFFFF"/>
        </w:rPr>
      </w:pPr>
      <w:r w:rsidRPr="007C56DF">
        <w:rPr>
          <w:rFonts w:ascii="Times New Roman" w:hAnsi="Times New Roman" w:cs="Times New Roman"/>
          <w:color w:val="222222"/>
          <w:shd w:val="clear" w:color="auto" w:fill="FFFFFF"/>
        </w:rPr>
        <w:t>Weber, K. M., &amp; Rohracher, H. (2012). Legitimizing research, technology and innovation policies for transformative change: Combining insights from innovation systems and multi-level perspective in a comprehensive ‘failures’ framework. </w:t>
      </w:r>
      <w:r w:rsidRPr="007C56DF">
        <w:rPr>
          <w:rFonts w:ascii="Times New Roman" w:hAnsi="Times New Roman" w:cs="Times New Roman"/>
          <w:i/>
          <w:iCs/>
          <w:color w:val="222222"/>
          <w:shd w:val="clear" w:color="auto" w:fill="FFFFFF"/>
        </w:rPr>
        <w:t>Research Policy</w:t>
      </w:r>
      <w:r w:rsidRPr="007C56DF">
        <w:rPr>
          <w:rFonts w:ascii="Times New Roman" w:hAnsi="Times New Roman" w:cs="Times New Roman"/>
          <w:color w:val="222222"/>
          <w:shd w:val="clear" w:color="auto" w:fill="FFFFFF"/>
        </w:rPr>
        <w:t>, </w:t>
      </w:r>
      <w:r w:rsidRPr="007C56DF">
        <w:rPr>
          <w:rFonts w:ascii="Times New Roman" w:hAnsi="Times New Roman" w:cs="Times New Roman"/>
          <w:i/>
          <w:iCs/>
          <w:color w:val="222222"/>
          <w:shd w:val="clear" w:color="auto" w:fill="FFFFFF"/>
        </w:rPr>
        <w:t>41</w:t>
      </w:r>
      <w:r w:rsidRPr="007C56DF">
        <w:rPr>
          <w:rFonts w:ascii="Times New Roman" w:hAnsi="Times New Roman" w:cs="Times New Roman"/>
          <w:color w:val="222222"/>
          <w:shd w:val="clear" w:color="auto" w:fill="FFFFFF"/>
        </w:rPr>
        <w:t>(6), 1037-1047.</w:t>
      </w:r>
    </w:p>
    <w:p w14:paraId="66314B5A" w14:textId="77777777" w:rsidR="004F65FD" w:rsidRPr="007C56DF" w:rsidRDefault="004F65FD" w:rsidP="007C56DF">
      <w:pPr>
        <w:ind w:left="720" w:hanging="720"/>
        <w:rPr>
          <w:rFonts w:ascii="Times New Roman" w:hAnsi="Times New Roman" w:cs="Times New Roman"/>
        </w:rPr>
      </w:pPr>
      <w:r w:rsidRPr="007C56DF">
        <w:rPr>
          <w:rFonts w:ascii="Times New Roman" w:hAnsi="Times New Roman" w:cs="Times New Roman"/>
        </w:rPr>
        <w:t>Zeichner, K., Payne, K., &amp; Brayko, K. (2012). Democratizing knowledge in university teacher education through practice-based methods teaching and mediated field experience in schools and communities. </w:t>
      </w:r>
      <w:r w:rsidRPr="007C56DF">
        <w:rPr>
          <w:rFonts w:ascii="Times New Roman" w:hAnsi="Times New Roman" w:cs="Times New Roman"/>
          <w:i/>
          <w:iCs/>
        </w:rPr>
        <w:t xml:space="preserve">Seattle, WA: </w:t>
      </w:r>
      <w:r w:rsidRPr="007C56DF">
        <w:rPr>
          <w:rFonts w:ascii="Times New Roman" w:hAnsi="Times New Roman" w:cs="Times New Roman"/>
          <w:iCs/>
        </w:rPr>
        <w:t>Center for the Study of Teacher Learning in Practice, College of Education, University of Washington.</w:t>
      </w:r>
    </w:p>
    <w:p w14:paraId="7516D082" w14:textId="76BC0B01" w:rsidR="00DF03F8" w:rsidRPr="007C56DF" w:rsidRDefault="00DF03F8" w:rsidP="00E526C2">
      <w:pPr>
        <w:ind w:firstLine="0"/>
        <w:rPr>
          <w:rFonts w:ascii="Times New Roman" w:hAnsi="Times New Roman" w:cs="Times New Roman"/>
        </w:rPr>
      </w:pPr>
    </w:p>
    <w:sectPr w:rsidR="00DF03F8" w:rsidRPr="007C56DF" w:rsidSect="00D34215">
      <w:headerReference w:type="default" r:id="rId30"/>
      <w:headerReference w:type="first" r:id="rId31"/>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E7114B" w15:done="0"/>
  <w15:commentEx w15:paraId="66D3F70C" w15:done="0"/>
  <w15:commentEx w15:paraId="1421E249" w15:done="0"/>
  <w15:commentEx w15:paraId="44E5B74E" w15:done="0"/>
  <w15:commentEx w15:paraId="238E931B" w15:done="0"/>
  <w15:commentEx w15:paraId="273E0F0B" w15:done="0"/>
  <w15:commentEx w15:paraId="4AC79BDF" w15:done="0"/>
  <w15:commentEx w15:paraId="2ACF7C5F" w15:done="0"/>
  <w15:commentEx w15:paraId="77CDB979" w15:done="0"/>
  <w15:commentEx w15:paraId="6661EBF8" w15:done="0"/>
  <w15:commentEx w15:paraId="02895FB8" w15:done="0"/>
  <w15:commentEx w15:paraId="1E1C2D00" w15:done="0"/>
  <w15:commentEx w15:paraId="6529BA50" w15:done="0"/>
  <w15:commentEx w15:paraId="199107D9" w15:done="0"/>
  <w15:commentEx w15:paraId="60978700" w15:done="0"/>
  <w15:commentEx w15:paraId="5A417FCA" w15:done="0"/>
  <w15:commentEx w15:paraId="28461B76" w15:done="0"/>
  <w15:commentEx w15:paraId="47395990" w15:done="0"/>
  <w15:commentEx w15:paraId="7A2FC294" w15:done="0"/>
  <w15:commentEx w15:paraId="57087741" w15:done="0"/>
  <w15:commentEx w15:paraId="2678B64B" w15:done="0"/>
  <w15:commentEx w15:paraId="7D49EAF3" w15:done="0"/>
  <w15:commentEx w15:paraId="66A425BB" w15:done="0"/>
  <w15:commentEx w15:paraId="3C02BCC4" w15:done="0"/>
  <w15:commentEx w15:paraId="309E5A57" w15:done="0"/>
  <w15:commentEx w15:paraId="18AA2014" w15:done="0"/>
  <w15:commentEx w15:paraId="37395B0B" w15:done="0"/>
  <w15:commentEx w15:paraId="448C26EF" w15:done="0"/>
  <w15:commentEx w15:paraId="32E99213" w15:done="0"/>
  <w15:commentEx w15:paraId="4F27C639" w15:done="0"/>
  <w15:commentEx w15:paraId="1BD08889" w15:done="0"/>
  <w15:commentEx w15:paraId="7280D947" w15:done="0"/>
  <w15:commentEx w15:paraId="2F1DEEDC" w15:done="0"/>
  <w15:commentEx w15:paraId="02B814C4" w15:done="0"/>
  <w15:commentEx w15:paraId="2B0A7B08" w15:done="0"/>
  <w15:commentEx w15:paraId="6CBA0CF7" w15:done="0"/>
  <w15:commentEx w15:paraId="40EA8F12" w15:done="0"/>
  <w15:commentEx w15:paraId="64417D99" w15:done="0"/>
  <w15:commentEx w15:paraId="5ECFF64B" w15:done="0"/>
  <w15:commentEx w15:paraId="31A0851D" w15:done="0"/>
  <w15:commentEx w15:paraId="12BD7EDB" w15:done="0"/>
  <w15:commentEx w15:paraId="03220E77" w15:done="0"/>
  <w15:commentEx w15:paraId="2BF3AE73" w15:done="0"/>
  <w15:commentEx w15:paraId="60D281D9" w15:done="0"/>
  <w15:commentEx w15:paraId="1724FA3C" w15:done="0"/>
  <w15:commentEx w15:paraId="5E678A08" w15:done="0"/>
  <w15:commentEx w15:paraId="74F3801D" w15:done="0"/>
  <w15:commentEx w15:paraId="4BF82096" w15:done="0"/>
  <w15:commentEx w15:paraId="16C0B2A3" w15:done="0"/>
  <w15:commentEx w15:paraId="148F99CC" w15:done="0"/>
  <w15:commentEx w15:paraId="4833555C" w15:done="0"/>
  <w15:commentEx w15:paraId="39C66F69" w15:done="0"/>
  <w15:commentEx w15:paraId="0B78D76A" w15:done="0"/>
  <w15:commentEx w15:paraId="7B212122" w15:done="0"/>
  <w15:commentEx w15:paraId="36D6E367" w15:done="0"/>
  <w15:commentEx w15:paraId="2C4960FD" w15:done="0"/>
  <w15:commentEx w15:paraId="2FD5F9A6" w15:done="0"/>
  <w15:commentEx w15:paraId="01EE3BF2" w15:done="0"/>
  <w15:commentEx w15:paraId="7B573D06" w15:done="0"/>
  <w15:commentEx w15:paraId="43DCD8CE" w15:done="0"/>
  <w15:commentEx w15:paraId="7AEED183" w15:done="0"/>
  <w15:commentEx w15:paraId="3E412108" w15:done="0"/>
  <w15:commentEx w15:paraId="4D04FF74" w15:done="0"/>
  <w15:commentEx w15:paraId="226C8156" w15:done="0"/>
  <w15:commentEx w15:paraId="1F47FDA7" w15:done="0"/>
  <w15:commentEx w15:paraId="7597E0F3" w15:done="0"/>
  <w15:commentEx w15:paraId="2E5DD2FA" w15:done="0"/>
  <w15:commentEx w15:paraId="7A583419" w15:done="0"/>
  <w15:commentEx w15:paraId="07515D63" w15:done="0"/>
  <w15:commentEx w15:paraId="2B674A0C" w15:done="0"/>
  <w15:commentEx w15:paraId="5729FDD3" w15:done="0"/>
  <w15:commentEx w15:paraId="30F9D1DC" w15:done="0"/>
  <w15:commentEx w15:paraId="5CA249ED" w15:done="0"/>
  <w15:commentEx w15:paraId="78EEA867" w15:done="0"/>
  <w15:commentEx w15:paraId="71CBD485" w15:done="0"/>
  <w15:commentEx w15:paraId="1592EEA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DFC0EB" w14:textId="77777777" w:rsidR="004507CE" w:rsidRDefault="004507CE" w:rsidP="001278F3">
      <w:r>
        <w:separator/>
      </w:r>
    </w:p>
    <w:p w14:paraId="54F8DC73" w14:textId="77777777" w:rsidR="004507CE" w:rsidRDefault="004507CE" w:rsidP="001278F3"/>
  </w:endnote>
  <w:endnote w:type="continuationSeparator" w:id="0">
    <w:p w14:paraId="0231B9E0" w14:textId="77777777" w:rsidR="004507CE" w:rsidRDefault="004507CE" w:rsidP="001278F3">
      <w:r>
        <w:continuationSeparator/>
      </w:r>
    </w:p>
    <w:p w14:paraId="48B48012" w14:textId="77777777" w:rsidR="004507CE" w:rsidRDefault="004507CE" w:rsidP="001278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dobe Garamond Pro">
    <w:altName w:val="Athelas Bold Italic"/>
    <w:panose1 w:val="00000000000000000000"/>
    <w:charset w:val="00"/>
    <w:family w:val="roman"/>
    <w:notTrueType/>
    <w:pitch w:val="variable"/>
    <w:sig w:usb0="00000007" w:usb1="00000001" w:usb2="00000000" w:usb3="00000000" w:csb0="00000093"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Californian FB">
    <w:charset w:val="00"/>
    <w:family w:val="roman"/>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Segoe UI">
    <w:altName w:val="Calibri"/>
    <w:charset w:val="00"/>
    <w:family w:val="swiss"/>
    <w:pitch w:val="variable"/>
    <w:sig w:usb0="E4002EFF" w:usb1="C000E47F"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dobe Song Std L">
    <w:panose1 w:val="00000000000000000000"/>
    <w:charset w:val="80"/>
    <w:family w:val="roman"/>
    <w:notTrueType/>
    <w:pitch w:val="variable"/>
    <w:sig w:usb0="00000207" w:usb1="0A0F1810" w:usb2="00000016" w:usb3="00000000" w:csb0="00060007"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C0FC95" w14:textId="77777777" w:rsidR="004507CE" w:rsidRDefault="004507CE" w:rsidP="001278F3">
      <w:r>
        <w:separator/>
      </w:r>
    </w:p>
    <w:p w14:paraId="7EA6C37B" w14:textId="77777777" w:rsidR="004507CE" w:rsidRDefault="004507CE" w:rsidP="001278F3"/>
  </w:footnote>
  <w:footnote w:type="continuationSeparator" w:id="0">
    <w:p w14:paraId="2AFF30C9" w14:textId="77777777" w:rsidR="004507CE" w:rsidRDefault="004507CE" w:rsidP="001278F3">
      <w:r>
        <w:continuationSeparator/>
      </w:r>
    </w:p>
    <w:p w14:paraId="1AFF4712" w14:textId="77777777" w:rsidR="004507CE" w:rsidRDefault="004507CE" w:rsidP="001278F3"/>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27721" w14:textId="0D67225C" w:rsidR="004507CE" w:rsidRPr="00550D07" w:rsidRDefault="004507CE" w:rsidP="00E05FBC">
    <w:pPr>
      <w:pStyle w:val="Header"/>
      <w:ind w:firstLine="0"/>
      <w:rPr>
        <w:rFonts w:ascii="Times New Roman" w:hAnsi="Times New Roman" w:cs="Times New Roman"/>
      </w:rPr>
    </w:pPr>
    <w:r w:rsidRPr="00550D07">
      <w:rPr>
        <w:rFonts w:ascii="Times New Roman" w:hAnsi="Times New Roman" w:cs="Times New Roman"/>
      </w:rPr>
      <w:t>SYSTEMIC CHANGE IN TEACHER LEARNING AND PRACTICE</w:t>
    </w:r>
    <w:r>
      <w:tab/>
    </w:r>
    <w:r w:rsidRPr="00550D07">
      <w:rPr>
        <w:rFonts w:ascii="Times New Roman" w:hAnsi="Times New Roman" w:cs="Times New Roman"/>
      </w:rPr>
      <w:fldChar w:fldCharType="begin"/>
    </w:r>
    <w:r w:rsidRPr="00550D07">
      <w:rPr>
        <w:rFonts w:ascii="Times New Roman" w:hAnsi="Times New Roman" w:cs="Times New Roman"/>
      </w:rPr>
      <w:instrText xml:space="preserve"> PAGE   \* MERGEFORMAT </w:instrText>
    </w:r>
    <w:r w:rsidRPr="00550D07">
      <w:rPr>
        <w:rFonts w:ascii="Times New Roman" w:hAnsi="Times New Roman" w:cs="Times New Roman"/>
      </w:rPr>
      <w:fldChar w:fldCharType="separate"/>
    </w:r>
    <w:r w:rsidR="00517D89">
      <w:rPr>
        <w:rFonts w:ascii="Times New Roman" w:hAnsi="Times New Roman" w:cs="Times New Roman"/>
        <w:noProof/>
      </w:rPr>
      <w:t>63</w:t>
    </w:r>
    <w:r w:rsidRPr="00550D07">
      <w:rPr>
        <w:rFonts w:ascii="Times New Roman" w:hAnsi="Times New Roman" w:cs="Times New Roman"/>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C4793" w14:textId="1232B5A1" w:rsidR="004507CE" w:rsidRDefault="004507CE" w:rsidP="00E05FBC">
    <w:pPr>
      <w:pStyle w:val="Header"/>
      <w:ind w:firstLine="0"/>
    </w:pPr>
    <w:r w:rsidRPr="007C56DF">
      <w:rPr>
        <w:rFonts w:ascii="Times New Roman" w:hAnsi="Times New Roman" w:cs="Times New Roman"/>
      </w:rPr>
      <w:t>Running Head:  SYSTEMIC CHANGE IN TEACHER LEARNING AND PRACTICE</w:t>
    </w:r>
    <w:r>
      <w:tab/>
    </w:r>
    <w:r w:rsidRPr="00550D07">
      <w:rPr>
        <w:rFonts w:ascii="Times New Roman" w:hAnsi="Times New Roman" w:cs="Times New Roman"/>
      </w:rPr>
      <w:fldChar w:fldCharType="begin"/>
    </w:r>
    <w:r w:rsidRPr="00550D07">
      <w:rPr>
        <w:rFonts w:ascii="Times New Roman" w:hAnsi="Times New Roman" w:cs="Times New Roman"/>
      </w:rPr>
      <w:instrText xml:space="preserve"> PAGE   \* MERGEFORMAT </w:instrText>
    </w:r>
    <w:r w:rsidRPr="00550D07">
      <w:rPr>
        <w:rFonts w:ascii="Times New Roman" w:hAnsi="Times New Roman" w:cs="Times New Roman"/>
      </w:rPr>
      <w:fldChar w:fldCharType="separate"/>
    </w:r>
    <w:r w:rsidR="00517D89">
      <w:rPr>
        <w:rFonts w:ascii="Times New Roman" w:hAnsi="Times New Roman" w:cs="Times New Roman"/>
        <w:noProof/>
      </w:rPr>
      <w:t>1</w:t>
    </w:r>
    <w:r w:rsidRPr="00550D07">
      <w:rPr>
        <w:rFonts w:ascii="Times New Roman" w:hAnsi="Times New Roman" w:cs="Times New Roman"/>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3241A"/>
    <w:multiLevelType w:val="hybridMultilevel"/>
    <w:tmpl w:val="77D82556"/>
    <w:lvl w:ilvl="0" w:tplc="C1046208">
      <w:start w:val="1"/>
      <w:numFmt w:val="bullet"/>
      <w:lvlText w:val="•"/>
      <w:lvlJc w:val="left"/>
      <w:pPr>
        <w:tabs>
          <w:tab w:val="num" w:pos="720"/>
        </w:tabs>
        <w:ind w:left="720" w:hanging="360"/>
      </w:pPr>
      <w:rPr>
        <w:rFonts w:ascii="Times" w:hAnsi="Times" w:hint="default"/>
      </w:rPr>
    </w:lvl>
    <w:lvl w:ilvl="1" w:tplc="39165BE6" w:tentative="1">
      <w:start w:val="1"/>
      <w:numFmt w:val="bullet"/>
      <w:lvlText w:val="•"/>
      <w:lvlJc w:val="left"/>
      <w:pPr>
        <w:tabs>
          <w:tab w:val="num" w:pos="1440"/>
        </w:tabs>
        <w:ind w:left="1440" w:hanging="360"/>
      </w:pPr>
      <w:rPr>
        <w:rFonts w:ascii="Times" w:hAnsi="Times" w:hint="default"/>
      </w:rPr>
    </w:lvl>
    <w:lvl w:ilvl="2" w:tplc="DED06BD0" w:tentative="1">
      <w:start w:val="1"/>
      <w:numFmt w:val="bullet"/>
      <w:lvlText w:val="•"/>
      <w:lvlJc w:val="left"/>
      <w:pPr>
        <w:tabs>
          <w:tab w:val="num" w:pos="2160"/>
        </w:tabs>
        <w:ind w:left="2160" w:hanging="360"/>
      </w:pPr>
      <w:rPr>
        <w:rFonts w:ascii="Times" w:hAnsi="Times" w:hint="default"/>
      </w:rPr>
    </w:lvl>
    <w:lvl w:ilvl="3" w:tplc="91DC0B26" w:tentative="1">
      <w:start w:val="1"/>
      <w:numFmt w:val="bullet"/>
      <w:lvlText w:val="•"/>
      <w:lvlJc w:val="left"/>
      <w:pPr>
        <w:tabs>
          <w:tab w:val="num" w:pos="2880"/>
        </w:tabs>
        <w:ind w:left="2880" w:hanging="360"/>
      </w:pPr>
      <w:rPr>
        <w:rFonts w:ascii="Times" w:hAnsi="Times" w:hint="default"/>
      </w:rPr>
    </w:lvl>
    <w:lvl w:ilvl="4" w:tplc="214813C6" w:tentative="1">
      <w:start w:val="1"/>
      <w:numFmt w:val="bullet"/>
      <w:lvlText w:val="•"/>
      <w:lvlJc w:val="left"/>
      <w:pPr>
        <w:tabs>
          <w:tab w:val="num" w:pos="3600"/>
        </w:tabs>
        <w:ind w:left="3600" w:hanging="360"/>
      </w:pPr>
      <w:rPr>
        <w:rFonts w:ascii="Times" w:hAnsi="Times" w:hint="default"/>
      </w:rPr>
    </w:lvl>
    <w:lvl w:ilvl="5" w:tplc="003694E8" w:tentative="1">
      <w:start w:val="1"/>
      <w:numFmt w:val="bullet"/>
      <w:lvlText w:val="•"/>
      <w:lvlJc w:val="left"/>
      <w:pPr>
        <w:tabs>
          <w:tab w:val="num" w:pos="4320"/>
        </w:tabs>
        <w:ind w:left="4320" w:hanging="360"/>
      </w:pPr>
      <w:rPr>
        <w:rFonts w:ascii="Times" w:hAnsi="Times" w:hint="default"/>
      </w:rPr>
    </w:lvl>
    <w:lvl w:ilvl="6" w:tplc="229C278A" w:tentative="1">
      <w:start w:val="1"/>
      <w:numFmt w:val="bullet"/>
      <w:lvlText w:val="•"/>
      <w:lvlJc w:val="left"/>
      <w:pPr>
        <w:tabs>
          <w:tab w:val="num" w:pos="5040"/>
        </w:tabs>
        <w:ind w:left="5040" w:hanging="360"/>
      </w:pPr>
      <w:rPr>
        <w:rFonts w:ascii="Times" w:hAnsi="Times" w:hint="default"/>
      </w:rPr>
    </w:lvl>
    <w:lvl w:ilvl="7" w:tplc="2D64DE74" w:tentative="1">
      <w:start w:val="1"/>
      <w:numFmt w:val="bullet"/>
      <w:lvlText w:val="•"/>
      <w:lvlJc w:val="left"/>
      <w:pPr>
        <w:tabs>
          <w:tab w:val="num" w:pos="5760"/>
        </w:tabs>
        <w:ind w:left="5760" w:hanging="360"/>
      </w:pPr>
      <w:rPr>
        <w:rFonts w:ascii="Times" w:hAnsi="Times" w:hint="default"/>
      </w:rPr>
    </w:lvl>
    <w:lvl w:ilvl="8" w:tplc="83887D48" w:tentative="1">
      <w:start w:val="1"/>
      <w:numFmt w:val="bullet"/>
      <w:lvlText w:val="•"/>
      <w:lvlJc w:val="left"/>
      <w:pPr>
        <w:tabs>
          <w:tab w:val="num" w:pos="6480"/>
        </w:tabs>
        <w:ind w:left="6480" w:hanging="360"/>
      </w:pPr>
      <w:rPr>
        <w:rFonts w:ascii="Times" w:hAnsi="Times" w:hint="default"/>
      </w:rPr>
    </w:lvl>
  </w:abstractNum>
  <w:abstractNum w:abstractNumId="1">
    <w:nsid w:val="768A6244"/>
    <w:multiLevelType w:val="multilevel"/>
    <w:tmpl w:val="0F104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lifornian FB&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wssdxr0kxzv0fe0et5xetd1pwe2aa25erzt&quot;&gt;CEEDAR Systemic Change Copy&lt;record-ids&gt;&lt;item&gt;25&lt;/item&gt;&lt;item&gt;30&lt;/item&gt;&lt;item&gt;33&lt;/item&gt;&lt;/record-ids&gt;&lt;/item&gt;&lt;/Libraries&gt;"/>
  </w:docVars>
  <w:rsids>
    <w:rsidRoot w:val="006D03FA"/>
    <w:rsid w:val="000023BE"/>
    <w:rsid w:val="00002863"/>
    <w:rsid w:val="00010D5F"/>
    <w:rsid w:val="00011A43"/>
    <w:rsid w:val="00014461"/>
    <w:rsid w:val="0001618E"/>
    <w:rsid w:val="00020C1C"/>
    <w:rsid w:val="00026BA0"/>
    <w:rsid w:val="000272FE"/>
    <w:rsid w:val="0003523A"/>
    <w:rsid w:val="00037D74"/>
    <w:rsid w:val="0004551E"/>
    <w:rsid w:val="00052652"/>
    <w:rsid w:val="00053BAB"/>
    <w:rsid w:val="0006255C"/>
    <w:rsid w:val="00062780"/>
    <w:rsid w:val="00063728"/>
    <w:rsid w:val="00065C31"/>
    <w:rsid w:val="00067AE6"/>
    <w:rsid w:val="00070DE0"/>
    <w:rsid w:val="00071F37"/>
    <w:rsid w:val="00072580"/>
    <w:rsid w:val="000727A4"/>
    <w:rsid w:val="00072AA1"/>
    <w:rsid w:val="00073408"/>
    <w:rsid w:val="00074876"/>
    <w:rsid w:val="00076643"/>
    <w:rsid w:val="00086250"/>
    <w:rsid w:val="000879E0"/>
    <w:rsid w:val="00091CC7"/>
    <w:rsid w:val="00091EE9"/>
    <w:rsid w:val="000A1A18"/>
    <w:rsid w:val="000A2141"/>
    <w:rsid w:val="000B11B5"/>
    <w:rsid w:val="000B1E5F"/>
    <w:rsid w:val="000B46A5"/>
    <w:rsid w:val="000B7819"/>
    <w:rsid w:val="000C06FA"/>
    <w:rsid w:val="000D0E6D"/>
    <w:rsid w:val="000D6734"/>
    <w:rsid w:val="000E18C2"/>
    <w:rsid w:val="000E3041"/>
    <w:rsid w:val="000E3947"/>
    <w:rsid w:val="00102BAC"/>
    <w:rsid w:val="00102DBF"/>
    <w:rsid w:val="00105810"/>
    <w:rsid w:val="001278F3"/>
    <w:rsid w:val="0013395B"/>
    <w:rsid w:val="00137B19"/>
    <w:rsid w:val="00146D20"/>
    <w:rsid w:val="00151962"/>
    <w:rsid w:val="00152635"/>
    <w:rsid w:val="001562CE"/>
    <w:rsid w:val="001621B5"/>
    <w:rsid w:val="00165578"/>
    <w:rsid w:val="001729B0"/>
    <w:rsid w:val="00175B1B"/>
    <w:rsid w:val="0017649C"/>
    <w:rsid w:val="00192DAF"/>
    <w:rsid w:val="00193939"/>
    <w:rsid w:val="00194638"/>
    <w:rsid w:val="001953FF"/>
    <w:rsid w:val="001961E6"/>
    <w:rsid w:val="001A1AA5"/>
    <w:rsid w:val="001A3813"/>
    <w:rsid w:val="001A4B81"/>
    <w:rsid w:val="001A6326"/>
    <w:rsid w:val="001A7529"/>
    <w:rsid w:val="001B067A"/>
    <w:rsid w:val="001B7F82"/>
    <w:rsid w:val="001C4573"/>
    <w:rsid w:val="001C78DB"/>
    <w:rsid w:val="001D0A98"/>
    <w:rsid w:val="001D6174"/>
    <w:rsid w:val="001D78D2"/>
    <w:rsid w:val="001E27CF"/>
    <w:rsid w:val="001E3042"/>
    <w:rsid w:val="001F4816"/>
    <w:rsid w:val="001F56C2"/>
    <w:rsid w:val="001F73E9"/>
    <w:rsid w:val="00200DA1"/>
    <w:rsid w:val="0020653A"/>
    <w:rsid w:val="00211BD8"/>
    <w:rsid w:val="002273CC"/>
    <w:rsid w:val="00233EAC"/>
    <w:rsid w:val="002453F4"/>
    <w:rsid w:val="002455F4"/>
    <w:rsid w:val="00252057"/>
    <w:rsid w:val="00252669"/>
    <w:rsid w:val="0025505F"/>
    <w:rsid w:val="002614F4"/>
    <w:rsid w:val="00261BEE"/>
    <w:rsid w:val="00274455"/>
    <w:rsid w:val="00274E8A"/>
    <w:rsid w:val="00277EDD"/>
    <w:rsid w:val="00280216"/>
    <w:rsid w:val="0028565F"/>
    <w:rsid w:val="002922A6"/>
    <w:rsid w:val="00292D91"/>
    <w:rsid w:val="00293D18"/>
    <w:rsid w:val="002941AD"/>
    <w:rsid w:val="00294EDC"/>
    <w:rsid w:val="002A0DD4"/>
    <w:rsid w:val="002B1F54"/>
    <w:rsid w:val="002B34C8"/>
    <w:rsid w:val="002B3C4A"/>
    <w:rsid w:val="002B6FA6"/>
    <w:rsid w:val="002C0908"/>
    <w:rsid w:val="002C25B0"/>
    <w:rsid w:val="002C45B4"/>
    <w:rsid w:val="002C6625"/>
    <w:rsid w:val="002D1589"/>
    <w:rsid w:val="002D24FB"/>
    <w:rsid w:val="002D4585"/>
    <w:rsid w:val="002D696B"/>
    <w:rsid w:val="002E1EDE"/>
    <w:rsid w:val="002E2962"/>
    <w:rsid w:val="002E2B89"/>
    <w:rsid w:val="002E6B0A"/>
    <w:rsid w:val="002F04EE"/>
    <w:rsid w:val="002F05C2"/>
    <w:rsid w:val="002F2DFA"/>
    <w:rsid w:val="00301839"/>
    <w:rsid w:val="00304264"/>
    <w:rsid w:val="00307755"/>
    <w:rsid w:val="00307DFD"/>
    <w:rsid w:val="003119ED"/>
    <w:rsid w:val="003146EB"/>
    <w:rsid w:val="00317EC8"/>
    <w:rsid w:val="003207B9"/>
    <w:rsid w:val="00323D35"/>
    <w:rsid w:val="00325BD8"/>
    <w:rsid w:val="003316B7"/>
    <w:rsid w:val="003400EB"/>
    <w:rsid w:val="00340F0F"/>
    <w:rsid w:val="0034161C"/>
    <w:rsid w:val="00344C45"/>
    <w:rsid w:val="0034774B"/>
    <w:rsid w:val="00350559"/>
    <w:rsid w:val="003523C1"/>
    <w:rsid w:val="00353A91"/>
    <w:rsid w:val="00360E50"/>
    <w:rsid w:val="00361DEA"/>
    <w:rsid w:val="00375A88"/>
    <w:rsid w:val="003816C8"/>
    <w:rsid w:val="0038260A"/>
    <w:rsid w:val="003855ED"/>
    <w:rsid w:val="00385D64"/>
    <w:rsid w:val="00386E9B"/>
    <w:rsid w:val="00390590"/>
    <w:rsid w:val="00391981"/>
    <w:rsid w:val="0039218F"/>
    <w:rsid w:val="00395D41"/>
    <w:rsid w:val="00395F73"/>
    <w:rsid w:val="003A02FE"/>
    <w:rsid w:val="003A310A"/>
    <w:rsid w:val="003A48E7"/>
    <w:rsid w:val="003A6CC0"/>
    <w:rsid w:val="003B5837"/>
    <w:rsid w:val="003D26B3"/>
    <w:rsid w:val="003D27D5"/>
    <w:rsid w:val="003D5754"/>
    <w:rsid w:val="003E74FA"/>
    <w:rsid w:val="003F2282"/>
    <w:rsid w:val="003F52AD"/>
    <w:rsid w:val="003F6CA5"/>
    <w:rsid w:val="003F6DBD"/>
    <w:rsid w:val="00401765"/>
    <w:rsid w:val="00402088"/>
    <w:rsid w:val="0041157A"/>
    <w:rsid w:val="00411A04"/>
    <w:rsid w:val="004123B9"/>
    <w:rsid w:val="00415391"/>
    <w:rsid w:val="00416E9D"/>
    <w:rsid w:val="00421D9B"/>
    <w:rsid w:val="00424680"/>
    <w:rsid w:val="00426435"/>
    <w:rsid w:val="00427A55"/>
    <w:rsid w:val="00435FD2"/>
    <w:rsid w:val="0043732E"/>
    <w:rsid w:val="00443B6E"/>
    <w:rsid w:val="00447950"/>
    <w:rsid w:val="004507CE"/>
    <w:rsid w:val="00450AC4"/>
    <w:rsid w:val="00452BCF"/>
    <w:rsid w:val="00462571"/>
    <w:rsid w:val="00474F54"/>
    <w:rsid w:val="004B21B4"/>
    <w:rsid w:val="004D13BA"/>
    <w:rsid w:val="004D181F"/>
    <w:rsid w:val="004D5323"/>
    <w:rsid w:val="004E3747"/>
    <w:rsid w:val="004E71C7"/>
    <w:rsid w:val="004E7FFB"/>
    <w:rsid w:val="004F4141"/>
    <w:rsid w:val="004F65FD"/>
    <w:rsid w:val="004F710D"/>
    <w:rsid w:val="004F75C2"/>
    <w:rsid w:val="0051345F"/>
    <w:rsid w:val="00514E29"/>
    <w:rsid w:val="00517D89"/>
    <w:rsid w:val="00517FE1"/>
    <w:rsid w:val="0052211C"/>
    <w:rsid w:val="005236C8"/>
    <w:rsid w:val="005249FC"/>
    <w:rsid w:val="00530262"/>
    <w:rsid w:val="00530F50"/>
    <w:rsid w:val="0054277A"/>
    <w:rsid w:val="0054348C"/>
    <w:rsid w:val="005438F3"/>
    <w:rsid w:val="0054480F"/>
    <w:rsid w:val="00547351"/>
    <w:rsid w:val="00550D07"/>
    <w:rsid w:val="00556167"/>
    <w:rsid w:val="005647AB"/>
    <w:rsid w:val="00564E50"/>
    <w:rsid w:val="005671A2"/>
    <w:rsid w:val="005678F0"/>
    <w:rsid w:val="00576EAE"/>
    <w:rsid w:val="0057780A"/>
    <w:rsid w:val="00580D79"/>
    <w:rsid w:val="005838A7"/>
    <w:rsid w:val="00583940"/>
    <w:rsid w:val="00585B0F"/>
    <w:rsid w:val="00591D24"/>
    <w:rsid w:val="00592065"/>
    <w:rsid w:val="005928A1"/>
    <w:rsid w:val="00593BC2"/>
    <w:rsid w:val="00595C7D"/>
    <w:rsid w:val="005974C7"/>
    <w:rsid w:val="005B4AF7"/>
    <w:rsid w:val="005B591E"/>
    <w:rsid w:val="005B6AB8"/>
    <w:rsid w:val="005B75B0"/>
    <w:rsid w:val="005C2403"/>
    <w:rsid w:val="005D2C18"/>
    <w:rsid w:val="005D6D6A"/>
    <w:rsid w:val="005E29B6"/>
    <w:rsid w:val="005E49B5"/>
    <w:rsid w:val="005F1DDF"/>
    <w:rsid w:val="005F2445"/>
    <w:rsid w:val="005F77C5"/>
    <w:rsid w:val="005F7B3C"/>
    <w:rsid w:val="0060052E"/>
    <w:rsid w:val="00610FC7"/>
    <w:rsid w:val="00611AAD"/>
    <w:rsid w:val="00625901"/>
    <w:rsid w:val="00627C86"/>
    <w:rsid w:val="00630C98"/>
    <w:rsid w:val="0063178E"/>
    <w:rsid w:val="006335C7"/>
    <w:rsid w:val="00641426"/>
    <w:rsid w:val="00645D61"/>
    <w:rsid w:val="006478D3"/>
    <w:rsid w:val="0065068D"/>
    <w:rsid w:val="00650A23"/>
    <w:rsid w:val="00651155"/>
    <w:rsid w:val="00652D59"/>
    <w:rsid w:val="00660048"/>
    <w:rsid w:val="00661F67"/>
    <w:rsid w:val="00671012"/>
    <w:rsid w:val="006764FE"/>
    <w:rsid w:val="0068013B"/>
    <w:rsid w:val="00680B7C"/>
    <w:rsid w:val="00681AD2"/>
    <w:rsid w:val="0068494F"/>
    <w:rsid w:val="00685880"/>
    <w:rsid w:val="00685A0E"/>
    <w:rsid w:val="006930DC"/>
    <w:rsid w:val="006943EE"/>
    <w:rsid w:val="006A4248"/>
    <w:rsid w:val="006A648C"/>
    <w:rsid w:val="006B4BE8"/>
    <w:rsid w:val="006C0EA0"/>
    <w:rsid w:val="006C1A25"/>
    <w:rsid w:val="006C1D4D"/>
    <w:rsid w:val="006C2F61"/>
    <w:rsid w:val="006C47EC"/>
    <w:rsid w:val="006C49D8"/>
    <w:rsid w:val="006D03FA"/>
    <w:rsid w:val="006D33A3"/>
    <w:rsid w:val="006D5A6E"/>
    <w:rsid w:val="006E0143"/>
    <w:rsid w:val="006E7361"/>
    <w:rsid w:val="006F119F"/>
    <w:rsid w:val="006F16B8"/>
    <w:rsid w:val="006F2812"/>
    <w:rsid w:val="006F649B"/>
    <w:rsid w:val="006F65AF"/>
    <w:rsid w:val="00702991"/>
    <w:rsid w:val="00711D9B"/>
    <w:rsid w:val="00713499"/>
    <w:rsid w:val="00715662"/>
    <w:rsid w:val="00721D0B"/>
    <w:rsid w:val="0072542F"/>
    <w:rsid w:val="00727949"/>
    <w:rsid w:val="0073339C"/>
    <w:rsid w:val="00733E2D"/>
    <w:rsid w:val="007343BA"/>
    <w:rsid w:val="0073528E"/>
    <w:rsid w:val="00740079"/>
    <w:rsid w:val="00747672"/>
    <w:rsid w:val="00757AE7"/>
    <w:rsid w:val="0076062F"/>
    <w:rsid w:val="00761164"/>
    <w:rsid w:val="00767305"/>
    <w:rsid w:val="00773D6B"/>
    <w:rsid w:val="00781F88"/>
    <w:rsid w:val="00790A45"/>
    <w:rsid w:val="007A1FD7"/>
    <w:rsid w:val="007A60A2"/>
    <w:rsid w:val="007C0879"/>
    <w:rsid w:val="007C1505"/>
    <w:rsid w:val="007C311F"/>
    <w:rsid w:val="007C56DF"/>
    <w:rsid w:val="007D111D"/>
    <w:rsid w:val="007D42FB"/>
    <w:rsid w:val="007D6492"/>
    <w:rsid w:val="007F071E"/>
    <w:rsid w:val="007F2DA7"/>
    <w:rsid w:val="00803FC0"/>
    <w:rsid w:val="00811C08"/>
    <w:rsid w:val="00811E1C"/>
    <w:rsid w:val="008139A7"/>
    <w:rsid w:val="00816DDC"/>
    <w:rsid w:val="00830286"/>
    <w:rsid w:val="0083293E"/>
    <w:rsid w:val="00844BD1"/>
    <w:rsid w:val="0086208E"/>
    <w:rsid w:val="008710EB"/>
    <w:rsid w:val="00874331"/>
    <w:rsid w:val="0088322E"/>
    <w:rsid w:val="00884D60"/>
    <w:rsid w:val="00892CBA"/>
    <w:rsid w:val="00894EEC"/>
    <w:rsid w:val="00895E95"/>
    <w:rsid w:val="008A54A7"/>
    <w:rsid w:val="008B08BC"/>
    <w:rsid w:val="008C02BA"/>
    <w:rsid w:val="008C3C68"/>
    <w:rsid w:val="008C7F47"/>
    <w:rsid w:val="008D6208"/>
    <w:rsid w:val="008D7456"/>
    <w:rsid w:val="008E183A"/>
    <w:rsid w:val="008E6AD4"/>
    <w:rsid w:val="008F54A6"/>
    <w:rsid w:val="008F5A91"/>
    <w:rsid w:val="008F605C"/>
    <w:rsid w:val="00901FA3"/>
    <w:rsid w:val="009020B7"/>
    <w:rsid w:val="00902455"/>
    <w:rsid w:val="00905583"/>
    <w:rsid w:val="00906CBD"/>
    <w:rsid w:val="00906EE7"/>
    <w:rsid w:val="009100EA"/>
    <w:rsid w:val="00914747"/>
    <w:rsid w:val="00916238"/>
    <w:rsid w:val="00920D29"/>
    <w:rsid w:val="0092253D"/>
    <w:rsid w:val="00926621"/>
    <w:rsid w:val="00927F06"/>
    <w:rsid w:val="00931F97"/>
    <w:rsid w:val="00933F77"/>
    <w:rsid w:val="00935544"/>
    <w:rsid w:val="00944D5C"/>
    <w:rsid w:val="00945091"/>
    <w:rsid w:val="00945E8F"/>
    <w:rsid w:val="00946D65"/>
    <w:rsid w:val="009516B2"/>
    <w:rsid w:val="00953E77"/>
    <w:rsid w:val="00963228"/>
    <w:rsid w:val="0096424C"/>
    <w:rsid w:val="00967D46"/>
    <w:rsid w:val="00973CE7"/>
    <w:rsid w:val="0098118B"/>
    <w:rsid w:val="009973B0"/>
    <w:rsid w:val="00997872"/>
    <w:rsid w:val="009A6CA5"/>
    <w:rsid w:val="009B4CB8"/>
    <w:rsid w:val="009B6CCB"/>
    <w:rsid w:val="009B787C"/>
    <w:rsid w:val="009C1091"/>
    <w:rsid w:val="009C5548"/>
    <w:rsid w:val="009C7687"/>
    <w:rsid w:val="009D080F"/>
    <w:rsid w:val="009D603F"/>
    <w:rsid w:val="009D7597"/>
    <w:rsid w:val="009E07F4"/>
    <w:rsid w:val="009E107B"/>
    <w:rsid w:val="009E34DD"/>
    <w:rsid w:val="009E7CB9"/>
    <w:rsid w:val="009F394D"/>
    <w:rsid w:val="009F42C8"/>
    <w:rsid w:val="009F4DE1"/>
    <w:rsid w:val="009F4F4F"/>
    <w:rsid w:val="009F5C3F"/>
    <w:rsid w:val="009F601E"/>
    <w:rsid w:val="00A05C81"/>
    <w:rsid w:val="00A05FC3"/>
    <w:rsid w:val="00A13822"/>
    <w:rsid w:val="00A1774B"/>
    <w:rsid w:val="00A27E66"/>
    <w:rsid w:val="00A32BFF"/>
    <w:rsid w:val="00A44E50"/>
    <w:rsid w:val="00A50204"/>
    <w:rsid w:val="00A5180A"/>
    <w:rsid w:val="00A54118"/>
    <w:rsid w:val="00A5742B"/>
    <w:rsid w:val="00A66149"/>
    <w:rsid w:val="00A667A7"/>
    <w:rsid w:val="00A7231E"/>
    <w:rsid w:val="00A73955"/>
    <w:rsid w:val="00A7711D"/>
    <w:rsid w:val="00A839FE"/>
    <w:rsid w:val="00A920E0"/>
    <w:rsid w:val="00A93559"/>
    <w:rsid w:val="00A93608"/>
    <w:rsid w:val="00AA4F42"/>
    <w:rsid w:val="00AA5C62"/>
    <w:rsid w:val="00AA6030"/>
    <w:rsid w:val="00AA7F89"/>
    <w:rsid w:val="00AB7FD6"/>
    <w:rsid w:val="00AC217A"/>
    <w:rsid w:val="00AD1AE2"/>
    <w:rsid w:val="00AD1C95"/>
    <w:rsid w:val="00AD1D3E"/>
    <w:rsid w:val="00AE252A"/>
    <w:rsid w:val="00AE56A5"/>
    <w:rsid w:val="00AF27F4"/>
    <w:rsid w:val="00AF5B6C"/>
    <w:rsid w:val="00B000BE"/>
    <w:rsid w:val="00B01EBE"/>
    <w:rsid w:val="00B0396D"/>
    <w:rsid w:val="00B062D3"/>
    <w:rsid w:val="00B117A9"/>
    <w:rsid w:val="00B13333"/>
    <w:rsid w:val="00B14F47"/>
    <w:rsid w:val="00B1520E"/>
    <w:rsid w:val="00B20B1B"/>
    <w:rsid w:val="00B21B10"/>
    <w:rsid w:val="00B2737C"/>
    <w:rsid w:val="00B34617"/>
    <w:rsid w:val="00B34939"/>
    <w:rsid w:val="00B41B13"/>
    <w:rsid w:val="00B445B2"/>
    <w:rsid w:val="00B56679"/>
    <w:rsid w:val="00B63207"/>
    <w:rsid w:val="00B642A8"/>
    <w:rsid w:val="00B6462E"/>
    <w:rsid w:val="00B6767B"/>
    <w:rsid w:val="00B70359"/>
    <w:rsid w:val="00B71AC0"/>
    <w:rsid w:val="00B72BE9"/>
    <w:rsid w:val="00B80552"/>
    <w:rsid w:val="00B831EA"/>
    <w:rsid w:val="00B910D4"/>
    <w:rsid w:val="00B94299"/>
    <w:rsid w:val="00B95098"/>
    <w:rsid w:val="00B97CF5"/>
    <w:rsid w:val="00BB09CC"/>
    <w:rsid w:val="00BB4370"/>
    <w:rsid w:val="00BB44BA"/>
    <w:rsid w:val="00BB53CA"/>
    <w:rsid w:val="00BC4D63"/>
    <w:rsid w:val="00BC68C9"/>
    <w:rsid w:val="00BC7D21"/>
    <w:rsid w:val="00BE4A74"/>
    <w:rsid w:val="00BE5672"/>
    <w:rsid w:val="00BF260C"/>
    <w:rsid w:val="00BF6F9A"/>
    <w:rsid w:val="00BF79D4"/>
    <w:rsid w:val="00C0686F"/>
    <w:rsid w:val="00C10222"/>
    <w:rsid w:val="00C10F7F"/>
    <w:rsid w:val="00C11704"/>
    <w:rsid w:val="00C11EDC"/>
    <w:rsid w:val="00C11FF0"/>
    <w:rsid w:val="00C26893"/>
    <w:rsid w:val="00C333B1"/>
    <w:rsid w:val="00C41844"/>
    <w:rsid w:val="00C42E2A"/>
    <w:rsid w:val="00C501DF"/>
    <w:rsid w:val="00C50861"/>
    <w:rsid w:val="00C517A7"/>
    <w:rsid w:val="00C531BF"/>
    <w:rsid w:val="00C55799"/>
    <w:rsid w:val="00C579F6"/>
    <w:rsid w:val="00C62339"/>
    <w:rsid w:val="00C805C0"/>
    <w:rsid w:val="00C83A3D"/>
    <w:rsid w:val="00C94B8B"/>
    <w:rsid w:val="00C9540E"/>
    <w:rsid w:val="00C95521"/>
    <w:rsid w:val="00CB15B6"/>
    <w:rsid w:val="00CB42F3"/>
    <w:rsid w:val="00CC0869"/>
    <w:rsid w:val="00CC10E9"/>
    <w:rsid w:val="00CD37DF"/>
    <w:rsid w:val="00CD3873"/>
    <w:rsid w:val="00CF43E8"/>
    <w:rsid w:val="00CF7753"/>
    <w:rsid w:val="00D00DCA"/>
    <w:rsid w:val="00D03091"/>
    <w:rsid w:val="00D046C8"/>
    <w:rsid w:val="00D047F4"/>
    <w:rsid w:val="00D0580A"/>
    <w:rsid w:val="00D31E69"/>
    <w:rsid w:val="00D34215"/>
    <w:rsid w:val="00D37DCA"/>
    <w:rsid w:val="00D44CD4"/>
    <w:rsid w:val="00D44FB8"/>
    <w:rsid w:val="00D50E87"/>
    <w:rsid w:val="00D516BC"/>
    <w:rsid w:val="00D62C89"/>
    <w:rsid w:val="00D671D1"/>
    <w:rsid w:val="00D701F7"/>
    <w:rsid w:val="00D702A5"/>
    <w:rsid w:val="00D72D8D"/>
    <w:rsid w:val="00D767FE"/>
    <w:rsid w:val="00D76A86"/>
    <w:rsid w:val="00D8551A"/>
    <w:rsid w:val="00D95093"/>
    <w:rsid w:val="00D965F0"/>
    <w:rsid w:val="00DA4E19"/>
    <w:rsid w:val="00DB0FD5"/>
    <w:rsid w:val="00DC6CFC"/>
    <w:rsid w:val="00DD0943"/>
    <w:rsid w:val="00DD5FFF"/>
    <w:rsid w:val="00DF03F8"/>
    <w:rsid w:val="00DF254D"/>
    <w:rsid w:val="00DF7EED"/>
    <w:rsid w:val="00E05FBC"/>
    <w:rsid w:val="00E06111"/>
    <w:rsid w:val="00E25DE6"/>
    <w:rsid w:val="00E31EC4"/>
    <w:rsid w:val="00E41348"/>
    <w:rsid w:val="00E427A1"/>
    <w:rsid w:val="00E504C8"/>
    <w:rsid w:val="00E526C2"/>
    <w:rsid w:val="00E54086"/>
    <w:rsid w:val="00E56A31"/>
    <w:rsid w:val="00E57DA9"/>
    <w:rsid w:val="00E62BF0"/>
    <w:rsid w:val="00E65F3A"/>
    <w:rsid w:val="00E66555"/>
    <w:rsid w:val="00E666FD"/>
    <w:rsid w:val="00E70529"/>
    <w:rsid w:val="00E70B57"/>
    <w:rsid w:val="00E70C98"/>
    <w:rsid w:val="00E73D3D"/>
    <w:rsid w:val="00E752E8"/>
    <w:rsid w:val="00E80BF3"/>
    <w:rsid w:val="00E82315"/>
    <w:rsid w:val="00E8385F"/>
    <w:rsid w:val="00E907A4"/>
    <w:rsid w:val="00EA45DF"/>
    <w:rsid w:val="00EA5F42"/>
    <w:rsid w:val="00EB577C"/>
    <w:rsid w:val="00EC2098"/>
    <w:rsid w:val="00EC471A"/>
    <w:rsid w:val="00EC4A94"/>
    <w:rsid w:val="00EC4E3A"/>
    <w:rsid w:val="00EC636E"/>
    <w:rsid w:val="00EC786E"/>
    <w:rsid w:val="00ED2E48"/>
    <w:rsid w:val="00ED3872"/>
    <w:rsid w:val="00ED45DE"/>
    <w:rsid w:val="00EE06E6"/>
    <w:rsid w:val="00EE3474"/>
    <w:rsid w:val="00EE4F0F"/>
    <w:rsid w:val="00EF1536"/>
    <w:rsid w:val="00EF215F"/>
    <w:rsid w:val="00F01ED6"/>
    <w:rsid w:val="00F02E2D"/>
    <w:rsid w:val="00F039B0"/>
    <w:rsid w:val="00F05466"/>
    <w:rsid w:val="00F061AE"/>
    <w:rsid w:val="00F0709D"/>
    <w:rsid w:val="00F07DE8"/>
    <w:rsid w:val="00F2627C"/>
    <w:rsid w:val="00F26D40"/>
    <w:rsid w:val="00F30C22"/>
    <w:rsid w:val="00F44142"/>
    <w:rsid w:val="00F56EB3"/>
    <w:rsid w:val="00F61A2C"/>
    <w:rsid w:val="00F62205"/>
    <w:rsid w:val="00F64B16"/>
    <w:rsid w:val="00F6653B"/>
    <w:rsid w:val="00F75DE5"/>
    <w:rsid w:val="00F769C1"/>
    <w:rsid w:val="00F80911"/>
    <w:rsid w:val="00F815A9"/>
    <w:rsid w:val="00F86DA5"/>
    <w:rsid w:val="00F9152F"/>
    <w:rsid w:val="00FA1D19"/>
    <w:rsid w:val="00FA6281"/>
    <w:rsid w:val="00FB1F50"/>
    <w:rsid w:val="00FB44AB"/>
    <w:rsid w:val="00FB794F"/>
    <w:rsid w:val="00FB7AFC"/>
    <w:rsid w:val="00FC1983"/>
    <w:rsid w:val="00FC2105"/>
    <w:rsid w:val="00FC62FF"/>
    <w:rsid w:val="00FD276C"/>
    <w:rsid w:val="00FD3456"/>
    <w:rsid w:val="00FE00B6"/>
    <w:rsid w:val="00FE6062"/>
    <w:rsid w:val="00FF0AD2"/>
    <w:rsid w:val="00FF3E83"/>
    <w:rsid w:val="00FF5EE0"/>
    <w:rsid w:val="00FF69DC"/>
    <w:rsid w:val="00FF732F"/>
    <w:rsid w:val="00FF7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673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8F3"/>
    <w:pPr>
      <w:autoSpaceDE w:val="0"/>
      <w:autoSpaceDN w:val="0"/>
      <w:adjustRightInd w:val="0"/>
      <w:spacing w:after="0" w:line="480" w:lineRule="auto"/>
      <w:ind w:firstLine="720"/>
    </w:pPr>
    <w:rPr>
      <w:rFonts w:ascii="Adobe Garamond Pro" w:hAnsi="Adobe Garamond Pro"/>
      <w:spacing w:val="-1"/>
      <w:sz w:val="24"/>
      <w:szCs w:val="24"/>
    </w:rPr>
  </w:style>
  <w:style w:type="paragraph" w:styleId="Heading1">
    <w:name w:val="heading 1"/>
    <w:basedOn w:val="Normal"/>
    <w:next w:val="Normal"/>
    <w:link w:val="Heading1Char"/>
    <w:uiPriority w:val="9"/>
    <w:qFormat/>
    <w:rsid w:val="001729B0"/>
    <w:pPr>
      <w:keepNext/>
      <w:keepLines/>
      <w:spacing w:before="240" w:line="240" w:lineRule="auto"/>
      <w:ind w:firstLine="0"/>
      <w:jc w:val="center"/>
      <w:outlineLvl w:val="0"/>
    </w:pPr>
    <w:rPr>
      <w:rFonts w:eastAsiaTheme="majorEastAsia" w:cstheme="majorBidi"/>
      <w:b/>
    </w:rPr>
  </w:style>
  <w:style w:type="paragraph" w:styleId="Heading2">
    <w:name w:val="heading 2"/>
    <w:basedOn w:val="Normal"/>
    <w:next w:val="Normal"/>
    <w:link w:val="Heading2Char"/>
    <w:uiPriority w:val="9"/>
    <w:unhideWhenUsed/>
    <w:qFormat/>
    <w:rsid w:val="00FB794F"/>
    <w:pPr>
      <w:ind w:firstLine="0"/>
      <w:outlineLvl w:val="1"/>
    </w:pPr>
    <w:rPr>
      <w:b/>
    </w:rPr>
  </w:style>
  <w:style w:type="paragraph" w:styleId="Heading3">
    <w:name w:val="heading 3"/>
    <w:basedOn w:val="Normal"/>
    <w:next w:val="Normal"/>
    <w:link w:val="Heading3Char"/>
    <w:uiPriority w:val="9"/>
    <w:unhideWhenUsed/>
    <w:qFormat/>
    <w:rsid w:val="001F73E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03F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1729B0"/>
    <w:rPr>
      <w:rFonts w:ascii="Adobe Garamond Pro" w:eastAsiaTheme="majorEastAsia" w:hAnsi="Adobe Garamond Pro" w:cstheme="majorBidi"/>
      <w:b/>
      <w:spacing w:val="-1"/>
      <w:sz w:val="24"/>
      <w:szCs w:val="24"/>
    </w:rPr>
  </w:style>
  <w:style w:type="character" w:customStyle="1" w:styleId="Heading2Char">
    <w:name w:val="Heading 2 Char"/>
    <w:basedOn w:val="DefaultParagraphFont"/>
    <w:link w:val="Heading2"/>
    <w:uiPriority w:val="9"/>
    <w:rsid w:val="00FB794F"/>
    <w:rPr>
      <w:rFonts w:ascii="Californian FB" w:hAnsi="Californian FB"/>
      <w:b/>
      <w:sz w:val="24"/>
      <w:szCs w:val="24"/>
    </w:rPr>
  </w:style>
  <w:style w:type="paragraph" w:styleId="Header">
    <w:name w:val="header"/>
    <w:basedOn w:val="Normal"/>
    <w:link w:val="HeaderChar"/>
    <w:uiPriority w:val="99"/>
    <w:unhideWhenUsed/>
    <w:rsid w:val="00D34215"/>
    <w:pPr>
      <w:tabs>
        <w:tab w:val="center" w:pos="4680"/>
        <w:tab w:val="right" w:pos="9360"/>
      </w:tabs>
    </w:pPr>
  </w:style>
  <w:style w:type="character" w:customStyle="1" w:styleId="HeaderChar">
    <w:name w:val="Header Char"/>
    <w:basedOn w:val="DefaultParagraphFont"/>
    <w:link w:val="Header"/>
    <w:uiPriority w:val="99"/>
    <w:rsid w:val="00D34215"/>
    <w:rPr>
      <w:rFonts w:ascii="Californian FB" w:hAnsi="Californian FB"/>
      <w:sz w:val="24"/>
      <w:szCs w:val="24"/>
    </w:rPr>
  </w:style>
  <w:style w:type="paragraph" w:styleId="Footer">
    <w:name w:val="footer"/>
    <w:basedOn w:val="Normal"/>
    <w:link w:val="FooterChar"/>
    <w:uiPriority w:val="99"/>
    <w:unhideWhenUsed/>
    <w:rsid w:val="00D34215"/>
    <w:pPr>
      <w:tabs>
        <w:tab w:val="center" w:pos="4680"/>
        <w:tab w:val="right" w:pos="9360"/>
      </w:tabs>
    </w:pPr>
  </w:style>
  <w:style w:type="character" w:customStyle="1" w:styleId="FooterChar">
    <w:name w:val="Footer Char"/>
    <w:basedOn w:val="DefaultParagraphFont"/>
    <w:link w:val="Footer"/>
    <w:uiPriority w:val="99"/>
    <w:rsid w:val="00D34215"/>
    <w:rPr>
      <w:rFonts w:ascii="Californian FB" w:hAnsi="Californian FB"/>
      <w:sz w:val="24"/>
      <w:szCs w:val="24"/>
    </w:rPr>
  </w:style>
  <w:style w:type="paragraph" w:styleId="Title">
    <w:name w:val="Title"/>
    <w:basedOn w:val="Normal"/>
    <w:next w:val="Normal"/>
    <w:link w:val="TitleChar"/>
    <w:uiPriority w:val="10"/>
    <w:qFormat/>
    <w:rsid w:val="00073408"/>
    <w:pPr>
      <w:autoSpaceDE/>
      <w:autoSpaceDN/>
      <w:adjustRightInd/>
      <w:ind w:firstLine="0"/>
      <w:jc w:val="center"/>
    </w:pPr>
    <w:rPr>
      <w:rFonts w:eastAsiaTheme="majorEastAsia" w:cstheme="majorBidi"/>
      <w:bCs/>
      <w:iCs/>
    </w:rPr>
  </w:style>
  <w:style w:type="character" w:customStyle="1" w:styleId="TitleChar">
    <w:name w:val="Title Char"/>
    <w:basedOn w:val="DefaultParagraphFont"/>
    <w:link w:val="Title"/>
    <w:uiPriority w:val="10"/>
    <w:rsid w:val="00073408"/>
    <w:rPr>
      <w:rFonts w:ascii="Californian FB" w:eastAsiaTheme="majorEastAsia" w:hAnsi="Californian FB" w:cstheme="majorBidi"/>
      <w:bCs/>
      <w:iCs/>
      <w:sz w:val="24"/>
      <w:szCs w:val="24"/>
    </w:rPr>
  </w:style>
  <w:style w:type="character" w:styleId="CommentReference">
    <w:name w:val="annotation reference"/>
    <w:basedOn w:val="DefaultParagraphFont"/>
    <w:uiPriority w:val="99"/>
    <w:semiHidden/>
    <w:unhideWhenUsed/>
    <w:rsid w:val="00073408"/>
    <w:rPr>
      <w:sz w:val="16"/>
      <w:szCs w:val="16"/>
    </w:rPr>
  </w:style>
  <w:style w:type="paragraph" w:styleId="CommentText">
    <w:name w:val="annotation text"/>
    <w:basedOn w:val="Normal"/>
    <w:link w:val="CommentTextChar"/>
    <w:uiPriority w:val="99"/>
    <w:unhideWhenUsed/>
    <w:rsid w:val="00073408"/>
    <w:pPr>
      <w:autoSpaceDE/>
      <w:autoSpaceDN/>
      <w:adjustRightInd/>
    </w:pPr>
    <w:rPr>
      <w:rFonts w:eastAsiaTheme="minorEastAsia"/>
      <w:sz w:val="20"/>
      <w:szCs w:val="20"/>
    </w:rPr>
  </w:style>
  <w:style w:type="character" w:customStyle="1" w:styleId="CommentTextChar">
    <w:name w:val="Comment Text Char"/>
    <w:basedOn w:val="DefaultParagraphFont"/>
    <w:link w:val="CommentText"/>
    <w:uiPriority w:val="99"/>
    <w:rsid w:val="00073408"/>
    <w:rPr>
      <w:rFonts w:ascii="Californian FB" w:eastAsiaTheme="minorEastAsia" w:hAnsi="Californian FB"/>
      <w:sz w:val="20"/>
      <w:szCs w:val="20"/>
    </w:rPr>
  </w:style>
  <w:style w:type="paragraph" w:styleId="BalloonText">
    <w:name w:val="Balloon Text"/>
    <w:basedOn w:val="Normal"/>
    <w:link w:val="BalloonTextChar"/>
    <w:uiPriority w:val="99"/>
    <w:semiHidden/>
    <w:unhideWhenUsed/>
    <w:rsid w:val="000734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408"/>
    <w:rPr>
      <w:rFonts w:ascii="Segoe UI" w:hAnsi="Segoe UI" w:cs="Segoe UI"/>
      <w:sz w:val="18"/>
      <w:szCs w:val="18"/>
    </w:rPr>
  </w:style>
  <w:style w:type="character" w:styleId="Hyperlink">
    <w:name w:val="Hyperlink"/>
    <w:basedOn w:val="DefaultParagraphFont"/>
    <w:uiPriority w:val="99"/>
    <w:unhideWhenUsed/>
    <w:rsid w:val="00DF7EED"/>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1F73E9"/>
    <w:pPr>
      <w:autoSpaceDE w:val="0"/>
      <w:autoSpaceDN w:val="0"/>
      <w:adjustRightInd w:val="0"/>
    </w:pPr>
    <w:rPr>
      <w:rFonts w:eastAsiaTheme="minorHAnsi"/>
      <w:b/>
      <w:bCs/>
    </w:rPr>
  </w:style>
  <w:style w:type="character" w:customStyle="1" w:styleId="CommentSubjectChar">
    <w:name w:val="Comment Subject Char"/>
    <w:basedOn w:val="CommentTextChar"/>
    <w:link w:val="CommentSubject"/>
    <w:uiPriority w:val="99"/>
    <w:semiHidden/>
    <w:rsid w:val="001F73E9"/>
    <w:rPr>
      <w:rFonts w:ascii="Californian FB" w:eastAsiaTheme="minorEastAsia" w:hAnsi="Californian FB"/>
      <w:b/>
      <w:bCs/>
      <w:sz w:val="20"/>
      <w:szCs w:val="20"/>
    </w:rPr>
  </w:style>
  <w:style w:type="character" w:customStyle="1" w:styleId="Heading3Char">
    <w:name w:val="Heading 3 Char"/>
    <w:basedOn w:val="DefaultParagraphFont"/>
    <w:link w:val="Heading3"/>
    <w:uiPriority w:val="9"/>
    <w:rsid w:val="001F73E9"/>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rsid w:val="00892CBA"/>
    <w:pPr>
      <w:autoSpaceDE/>
      <w:autoSpaceDN/>
      <w:adjustRightInd/>
      <w:ind w:firstLine="0"/>
    </w:pPr>
    <w:rPr>
      <w:rFonts w:ascii="Book Antiqua" w:eastAsia="Times New Roman" w:hAnsi="Book Antiqua" w:cs="Arial"/>
      <w:color w:val="333333"/>
    </w:rPr>
  </w:style>
  <w:style w:type="character" w:customStyle="1" w:styleId="BodyText2Char">
    <w:name w:val="Body Text 2 Char"/>
    <w:basedOn w:val="DefaultParagraphFont"/>
    <w:link w:val="BodyText2"/>
    <w:rsid w:val="00892CBA"/>
    <w:rPr>
      <w:rFonts w:ascii="Book Antiqua" w:eastAsia="Times New Roman" w:hAnsi="Book Antiqua" w:cs="Arial"/>
      <w:color w:val="333333"/>
      <w:sz w:val="24"/>
      <w:szCs w:val="24"/>
    </w:rPr>
  </w:style>
  <w:style w:type="character" w:customStyle="1" w:styleId="ListParagraphChar">
    <w:name w:val="List Paragraph Char"/>
    <w:basedOn w:val="DefaultParagraphFont"/>
    <w:link w:val="ListParagraph"/>
    <w:uiPriority w:val="34"/>
    <w:locked/>
    <w:rsid w:val="002E2B89"/>
    <w:rPr>
      <w:rFonts w:ascii="Times New Roman" w:eastAsia="Times New Roman" w:hAnsi="Times New Roman" w:cs="Times New Roman"/>
    </w:rPr>
  </w:style>
  <w:style w:type="paragraph" w:styleId="ListParagraph">
    <w:name w:val="List Paragraph"/>
    <w:basedOn w:val="Normal"/>
    <w:link w:val="ListParagraphChar"/>
    <w:uiPriority w:val="34"/>
    <w:qFormat/>
    <w:rsid w:val="002E2B89"/>
    <w:pPr>
      <w:autoSpaceDE/>
      <w:autoSpaceDN/>
      <w:adjustRightInd/>
      <w:spacing w:line="240" w:lineRule="auto"/>
      <w:ind w:left="720" w:firstLine="0"/>
      <w:contextualSpacing/>
    </w:pPr>
    <w:rPr>
      <w:rFonts w:ascii="Times New Roman" w:eastAsia="Times New Roman" w:hAnsi="Times New Roman" w:cs="Times New Roman"/>
      <w:sz w:val="22"/>
      <w:szCs w:val="22"/>
    </w:rPr>
  </w:style>
  <w:style w:type="paragraph" w:styleId="BodyText">
    <w:name w:val="Body Text"/>
    <w:basedOn w:val="Normal"/>
    <w:link w:val="BodyTextChar"/>
    <w:uiPriority w:val="99"/>
    <w:semiHidden/>
    <w:unhideWhenUsed/>
    <w:rsid w:val="00DF254D"/>
    <w:pPr>
      <w:spacing w:after="120"/>
    </w:pPr>
  </w:style>
  <w:style w:type="character" w:customStyle="1" w:styleId="BodyTextChar">
    <w:name w:val="Body Text Char"/>
    <w:basedOn w:val="DefaultParagraphFont"/>
    <w:link w:val="BodyText"/>
    <w:uiPriority w:val="99"/>
    <w:semiHidden/>
    <w:rsid w:val="00DF254D"/>
    <w:rPr>
      <w:rFonts w:ascii="Californian FB" w:hAnsi="Californian FB"/>
      <w:sz w:val="24"/>
      <w:szCs w:val="24"/>
    </w:rPr>
  </w:style>
  <w:style w:type="paragraph" w:customStyle="1" w:styleId="References">
    <w:name w:val="References"/>
    <w:basedOn w:val="Normal"/>
    <w:link w:val="ReferencesChar"/>
    <w:qFormat/>
    <w:rsid w:val="00EA5F42"/>
    <w:pPr>
      <w:ind w:left="720" w:hanging="720"/>
    </w:pPr>
  </w:style>
  <w:style w:type="character" w:customStyle="1" w:styleId="ReferencesChar">
    <w:name w:val="References Char"/>
    <w:basedOn w:val="DefaultParagraphFont"/>
    <w:link w:val="References"/>
    <w:rsid w:val="00EA5F42"/>
    <w:rPr>
      <w:rFonts w:ascii="Adobe Garamond Pro" w:hAnsi="Adobe Garamond Pro"/>
      <w:spacing w:val="-1"/>
      <w:sz w:val="24"/>
      <w:szCs w:val="24"/>
    </w:rPr>
  </w:style>
  <w:style w:type="character" w:customStyle="1" w:styleId="apple-converted-space">
    <w:name w:val="apple-converted-space"/>
    <w:basedOn w:val="DefaultParagraphFont"/>
    <w:rsid w:val="00193939"/>
  </w:style>
  <w:style w:type="paragraph" w:customStyle="1" w:styleId="EndNoteBibliographyTitle">
    <w:name w:val="EndNote Bibliography Title"/>
    <w:basedOn w:val="Normal"/>
    <w:rsid w:val="00D671D1"/>
    <w:pPr>
      <w:jc w:val="center"/>
    </w:pPr>
  </w:style>
  <w:style w:type="paragraph" w:customStyle="1" w:styleId="EndNoteBibliography">
    <w:name w:val="EndNote Bibliography"/>
    <w:basedOn w:val="Normal"/>
    <w:rsid w:val="00D671D1"/>
    <w:pPr>
      <w:spacing w:line="240" w:lineRule="auto"/>
    </w:pPr>
  </w:style>
  <w:style w:type="paragraph" w:styleId="Revision">
    <w:name w:val="Revision"/>
    <w:hidden/>
    <w:uiPriority w:val="99"/>
    <w:semiHidden/>
    <w:rsid w:val="0051345F"/>
    <w:pPr>
      <w:spacing w:after="0" w:line="240" w:lineRule="auto"/>
    </w:pPr>
    <w:rPr>
      <w:rFonts w:ascii="Adobe Garamond Pro" w:hAnsi="Adobe Garamond Pro"/>
      <w:spacing w:val="-1"/>
      <w:sz w:val="24"/>
      <w:szCs w:val="24"/>
    </w:rPr>
  </w:style>
  <w:style w:type="paragraph" w:styleId="DocumentMap">
    <w:name w:val="Document Map"/>
    <w:basedOn w:val="Normal"/>
    <w:link w:val="DocumentMapChar"/>
    <w:uiPriority w:val="99"/>
    <w:semiHidden/>
    <w:unhideWhenUsed/>
    <w:rsid w:val="006335C7"/>
    <w:pPr>
      <w:spacing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6335C7"/>
    <w:rPr>
      <w:rFonts w:ascii="Lucida Grande" w:hAnsi="Lucida Grande" w:cs="Lucida Grande"/>
      <w:spacing w:val="-1"/>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8F3"/>
    <w:pPr>
      <w:autoSpaceDE w:val="0"/>
      <w:autoSpaceDN w:val="0"/>
      <w:adjustRightInd w:val="0"/>
      <w:spacing w:after="0" w:line="480" w:lineRule="auto"/>
      <w:ind w:firstLine="720"/>
    </w:pPr>
    <w:rPr>
      <w:rFonts w:ascii="Adobe Garamond Pro" w:hAnsi="Adobe Garamond Pro"/>
      <w:spacing w:val="-1"/>
      <w:sz w:val="24"/>
      <w:szCs w:val="24"/>
    </w:rPr>
  </w:style>
  <w:style w:type="paragraph" w:styleId="Heading1">
    <w:name w:val="heading 1"/>
    <w:basedOn w:val="Normal"/>
    <w:next w:val="Normal"/>
    <w:link w:val="Heading1Char"/>
    <w:uiPriority w:val="9"/>
    <w:qFormat/>
    <w:rsid w:val="001729B0"/>
    <w:pPr>
      <w:keepNext/>
      <w:keepLines/>
      <w:spacing w:before="240" w:line="240" w:lineRule="auto"/>
      <w:ind w:firstLine="0"/>
      <w:jc w:val="center"/>
      <w:outlineLvl w:val="0"/>
    </w:pPr>
    <w:rPr>
      <w:rFonts w:eastAsiaTheme="majorEastAsia" w:cstheme="majorBidi"/>
      <w:b/>
    </w:rPr>
  </w:style>
  <w:style w:type="paragraph" w:styleId="Heading2">
    <w:name w:val="heading 2"/>
    <w:basedOn w:val="Normal"/>
    <w:next w:val="Normal"/>
    <w:link w:val="Heading2Char"/>
    <w:uiPriority w:val="9"/>
    <w:unhideWhenUsed/>
    <w:qFormat/>
    <w:rsid w:val="00FB794F"/>
    <w:pPr>
      <w:ind w:firstLine="0"/>
      <w:outlineLvl w:val="1"/>
    </w:pPr>
    <w:rPr>
      <w:b/>
    </w:rPr>
  </w:style>
  <w:style w:type="paragraph" w:styleId="Heading3">
    <w:name w:val="heading 3"/>
    <w:basedOn w:val="Normal"/>
    <w:next w:val="Normal"/>
    <w:link w:val="Heading3Char"/>
    <w:uiPriority w:val="9"/>
    <w:unhideWhenUsed/>
    <w:qFormat/>
    <w:rsid w:val="001F73E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03F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1729B0"/>
    <w:rPr>
      <w:rFonts w:ascii="Adobe Garamond Pro" w:eastAsiaTheme="majorEastAsia" w:hAnsi="Adobe Garamond Pro" w:cstheme="majorBidi"/>
      <w:b/>
      <w:spacing w:val="-1"/>
      <w:sz w:val="24"/>
      <w:szCs w:val="24"/>
    </w:rPr>
  </w:style>
  <w:style w:type="character" w:customStyle="1" w:styleId="Heading2Char">
    <w:name w:val="Heading 2 Char"/>
    <w:basedOn w:val="DefaultParagraphFont"/>
    <w:link w:val="Heading2"/>
    <w:uiPriority w:val="9"/>
    <w:rsid w:val="00FB794F"/>
    <w:rPr>
      <w:rFonts w:ascii="Californian FB" w:hAnsi="Californian FB"/>
      <w:b/>
      <w:sz w:val="24"/>
      <w:szCs w:val="24"/>
    </w:rPr>
  </w:style>
  <w:style w:type="paragraph" w:styleId="Header">
    <w:name w:val="header"/>
    <w:basedOn w:val="Normal"/>
    <w:link w:val="HeaderChar"/>
    <w:uiPriority w:val="99"/>
    <w:unhideWhenUsed/>
    <w:rsid w:val="00D34215"/>
    <w:pPr>
      <w:tabs>
        <w:tab w:val="center" w:pos="4680"/>
        <w:tab w:val="right" w:pos="9360"/>
      </w:tabs>
    </w:pPr>
  </w:style>
  <w:style w:type="character" w:customStyle="1" w:styleId="HeaderChar">
    <w:name w:val="Header Char"/>
    <w:basedOn w:val="DefaultParagraphFont"/>
    <w:link w:val="Header"/>
    <w:uiPriority w:val="99"/>
    <w:rsid w:val="00D34215"/>
    <w:rPr>
      <w:rFonts w:ascii="Californian FB" w:hAnsi="Californian FB"/>
      <w:sz w:val="24"/>
      <w:szCs w:val="24"/>
    </w:rPr>
  </w:style>
  <w:style w:type="paragraph" w:styleId="Footer">
    <w:name w:val="footer"/>
    <w:basedOn w:val="Normal"/>
    <w:link w:val="FooterChar"/>
    <w:uiPriority w:val="99"/>
    <w:unhideWhenUsed/>
    <w:rsid w:val="00D34215"/>
    <w:pPr>
      <w:tabs>
        <w:tab w:val="center" w:pos="4680"/>
        <w:tab w:val="right" w:pos="9360"/>
      </w:tabs>
    </w:pPr>
  </w:style>
  <w:style w:type="character" w:customStyle="1" w:styleId="FooterChar">
    <w:name w:val="Footer Char"/>
    <w:basedOn w:val="DefaultParagraphFont"/>
    <w:link w:val="Footer"/>
    <w:uiPriority w:val="99"/>
    <w:rsid w:val="00D34215"/>
    <w:rPr>
      <w:rFonts w:ascii="Californian FB" w:hAnsi="Californian FB"/>
      <w:sz w:val="24"/>
      <w:szCs w:val="24"/>
    </w:rPr>
  </w:style>
  <w:style w:type="paragraph" w:styleId="Title">
    <w:name w:val="Title"/>
    <w:basedOn w:val="Normal"/>
    <w:next w:val="Normal"/>
    <w:link w:val="TitleChar"/>
    <w:uiPriority w:val="10"/>
    <w:qFormat/>
    <w:rsid w:val="00073408"/>
    <w:pPr>
      <w:autoSpaceDE/>
      <w:autoSpaceDN/>
      <w:adjustRightInd/>
      <w:ind w:firstLine="0"/>
      <w:jc w:val="center"/>
    </w:pPr>
    <w:rPr>
      <w:rFonts w:eastAsiaTheme="majorEastAsia" w:cstheme="majorBidi"/>
      <w:bCs/>
      <w:iCs/>
    </w:rPr>
  </w:style>
  <w:style w:type="character" w:customStyle="1" w:styleId="TitleChar">
    <w:name w:val="Title Char"/>
    <w:basedOn w:val="DefaultParagraphFont"/>
    <w:link w:val="Title"/>
    <w:uiPriority w:val="10"/>
    <w:rsid w:val="00073408"/>
    <w:rPr>
      <w:rFonts w:ascii="Californian FB" w:eastAsiaTheme="majorEastAsia" w:hAnsi="Californian FB" w:cstheme="majorBidi"/>
      <w:bCs/>
      <w:iCs/>
      <w:sz w:val="24"/>
      <w:szCs w:val="24"/>
    </w:rPr>
  </w:style>
  <w:style w:type="character" w:styleId="CommentReference">
    <w:name w:val="annotation reference"/>
    <w:basedOn w:val="DefaultParagraphFont"/>
    <w:uiPriority w:val="99"/>
    <w:semiHidden/>
    <w:unhideWhenUsed/>
    <w:rsid w:val="00073408"/>
    <w:rPr>
      <w:sz w:val="16"/>
      <w:szCs w:val="16"/>
    </w:rPr>
  </w:style>
  <w:style w:type="paragraph" w:styleId="CommentText">
    <w:name w:val="annotation text"/>
    <w:basedOn w:val="Normal"/>
    <w:link w:val="CommentTextChar"/>
    <w:uiPriority w:val="99"/>
    <w:unhideWhenUsed/>
    <w:rsid w:val="00073408"/>
    <w:pPr>
      <w:autoSpaceDE/>
      <w:autoSpaceDN/>
      <w:adjustRightInd/>
    </w:pPr>
    <w:rPr>
      <w:rFonts w:eastAsiaTheme="minorEastAsia"/>
      <w:sz w:val="20"/>
      <w:szCs w:val="20"/>
    </w:rPr>
  </w:style>
  <w:style w:type="character" w:customStyle="1" w:styleId="CommentTextChar">
    <w:name w:val="Comment Text Char"/>
    <w:basedOn w:val="DefaultParagraphFont"/>
    <w:link w:val="CommentText"/>
    <w:uiPriority w:val="99"/>
    <w:rsid w:val="00073408"/>
    <w:rPr>
      <w:rFonts w:ascii="Californian FB" w:eastAsiaTheme="minorEastAsia" w:hAnsi="Californian FB"/>
      <w:sz w:val="20"/>
      <w:szCs w:val="20"/>
    </w:rPr>
  </w:style>
  <w:style w:type="paragraph" w:styleId="BalloonText">
    <w:name w:val="Balloon Text"/>
    <w:basedOn w:val="Normal"/>
    <w:link w:val="BalloonTextChar"/>
    <w:uiPriority w:val="99"/>
    <w:semiHidden/>
    <w:unhideWhenUsed/>
    <w:rsid w:val="000734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408"/>
    <w:rPr>
      <w:rFonts w:ascii="Segoe UI" w:hAnsi="Segoe UI" w:cs="Segoe UI"/>
      <w:sz w:val="18"/>
      <w:szCs w:val="18"/>
    </w:rPr>
  </w:style>
  <w:style w:type="character" w:styleId="Hyperlink">
    <w:name w:val="Hyperlink"/>
    <w:basedOn w:val="DefaultParagraphFont"/>
    <w:uiPriority w:val="99"/>
    <w:unhideWhenUsed/>
    <w:rsid w:val="00DF7EED"/>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1F73E9"/>
    <w:pPr>
      <w:autoSpaceDE w:val="0"/>
      <w:autoSpaceDN w:val="0"/>
      <w:adjustRightInd w:val="0"/>
    </w:pPr>
    <w:rPr>
      <w:rFonts w:eastAsiaTheme="minorHAnsi"/>
      <w:b/>
      <w:bCs/>
    </w:rPr>
  </w:style>
  <w:style w:type="character" w:customStyle="1" w:styleId="CommentSubjectChar">
    <w:name w:val="Comment Subject Char"/>
    <w:basedOn w:val="CommentTextChar"/>
    <w:link w:val="CommentSubject"/>
    <w:uiPriority w:val="99"/>
    <w:semiHidden/>
    <w:rsid w:val="001F73E9"/>
    <w:rPr>
      <w:rFonts w:ascii="Californian FB" w:eastAsiaTheme="minorEastAsia" w:hAnsi="Californian FB"/>
      <w:b/>
      <w:bCs/>
      <w:sz w:val="20"/>
      <w:szCs w:val="20"/>
    </w:rPr>
  </w:style>
  <w:style w:type="character" w:customStyle="1" w:styleId="Heading3Char">
    <w:name w:val="Heading 3 Char"/>
    <w:basedOn w:val="DefaultParagraphFont"/>
    <w:link w:val="Heading3"/>
    <w:uiPriority w:val="9"/>
    <w:rsid w:val="001F73E9"/>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rsid w:val="00892CBA"/>
    <w:pPr>
      <w:autoSpaceDE/>
      <w:autoSpaceDN/>
      <w:adjustRightInd/>
      <w:ind w:firstLine="0"/>
    </w:pPr>
    <w:rPr>
      <w:rFonts w:ascii="Book Antiqua" w:eastAsia="Times New Roman" w:hAnsi="Book Antiqua" w:cs="Arial"/>
      <w:color w:val="333333"/>
    </w:rPr>
  </w:style>
  <w:style w:type="character" w:customStyle="1" w:styleId="BodyText2Char">
    <w:name w:val="Body Text 2 Char"/>
    <w:basedOn w:val="DefaultParagraphFont"/>
    <w:link w:val="BodyText2"/>
    <w:rsid w:val="00892CBA"/>
    <w:rPr>
      <w:rFonts w:ascii="Book Antiqua" w:eastAsia="Times New Roman" w:hAnsi="Book Antiqua" w:cs="Arial"/>
      <w:color w:val="333333"/>
      <w:sz w:val="24"/>
      <w:szCs w:val="24"/>
    </w:rPr>
  </w:style>
  <w:style w:type="character" w:customStyle="1" w:styleId="ListParagraphChar">
    <w:name w:val="List Paragraph Char"/>
    <w:basedOn w:val="DefaultParagraphFont"/>
    <w:link w:val="ListParagraph"/>
    <w:uiPriority w:val="34"/>
    <w:locked/>
    <w:rsid w:val="002E2B89"/>
    <w:rPr>
      <w:rFonts w:ascii="Times New Roman" w:eastAsia="Times New Roman" w:hAnsi="Times New Roman" w:cs="Times New Roman"/>
    </w:rPr>
  </w:style>
  <w:style w:type="paragraph" w:styleId="ListParagraph">
    <w:name w:val="List Paragraph"/>
    <w:basedOn w:val="Normal"/>
    <w:link w:val="ListParagraphChar"/>
    <w:uiPriority w:val="34"/>
    <w:qFormat/>
    <w:rsid w:val="002E2B89"/>
    <w:pPr>
      <w:autoSpaceDE/>
      <w:autoSpaceDN/>
      <w:adjustRightInd/>
      <w:spacing w:line="240" w:lineRule="auto"/>
      <w:ind w:left="720" w:firstLine="0"/>
      <w:contextualSpacing/>
    </w:pPr>
    <w:rPr>
      <w:rFonts w:ascii="Times New Roman" w:eastAsia="Times New Roman" w:hAnsi="Times New Roman" w:cs="Times New Roman"/>
      <w:sz w:val="22"/>
      <w:szCs w:val="22"/>
    </w:rPr>
  </w:style>
  <w:style w:type="paragraph" w:styleId="BodyText">
    <w:name w:val="Body Text"/>
    <w:basedOn w:val="Normal"/>
    <w:link w:val="BodyTextChar"/>
    <w:uiPriority w:val="99"/>
    <w:semiHidden/>
    <w:unhideWhenUsed/>
    <w:rsid w:val="00DF254D"/>
    <w:pPr>
      <w:spacing w:after="120"/>
    </w:pPr>
  </w:style>
  <w:style w:type="character" w:customStyle="1" w:styleId="BodyTextChar">
    <w:name w:val="Body Text Char"/>
    <w:basedOn w:val="DefaultParagraphFont"/>
    <w:link w:val="BodyText"/>
    <w:uiPriority w:val="99"/>
    <w:semiHidden/>
    <w:rsid w:val="00DF254D"/>
    <w:rPr>
      <w:rFonts w:ascii="Californian FB" w:hAnsi="Californian FB"/>
      <w:sz w:val="24"/>
      <w:szCs w:val="24"/>
    </w:rPr>
  </w:style>
  <w:style w:type="paragraph" w:customStyle="1" w:styleId="References">
    <w:name w:val="References"/>
    <w:basedOn w:val="Normal"/>
    <w:link w:val="ReferencesChar"/>
    <w:qFormat/>
    <w:rsid w:val="00EA5F42"/>
    <w:pPr>
      <w:ind w:left="720" w:hanging="720"/>
    </w:pPr>
  </w:style>
  <w:style w:type="character" w:customStyle="1" w:styleId="ReferencesChar">
    <w:name w:val="References Char"/>
    <w:basedOn w:val="DefaultParagraphFont"/>
    <w:link w:val="References"/>
    <w:rsid w:val="00EA5F42"/>
    <w:rPr>
      <w:rFonts w:ascii="Adobe Garamond Pro" w:hAnsi="Adobe Garamond Pro"/>
      <w:spacing w:val="-1"/>
      <w:sz w:val="24"/>
      <w:szCs w:val="24"/>
    </w:rPr>
  </w:style>
  <w:style w:type="character" w:customStyle="1" w:styleId="apple-converted-space">
    <w:name w:val="apple-converted-space"/>
    <w:basedOn w:val="DefaultParagraphFont"/>
    <w:rsid w:val="00193939"/>
  </w:style>
  <w:style w:type="paragraph" w:customStyle="1" w:styleId="EndNoteBibliographyTitle">
    <w:name w:val="EndNote Bibliography Title"/>
    <w:basedOn w:val="Normal"/>
    <w:rsid w:val="00D671D1"/>
    <w:pPr>
      <w:jc w:val="center"/>
    </w:pPr>
  </w:style>
  <w:style w:type="paragraph" w:customStyle="1" w:styleId="EndNoteBibliography">
    <w:name w:val="EndNote Bibliography"/>
    <w:basedOn w:val="Normal"/>
    <w:rsid w:val="00D671D1"/>
    <w:pPr>
      <w:spacing w:line="240" w:lineRule="auto"/>
    </w:pPr>
  </w:style>
  <w:style w:type="paragraph" w:styleId="Revision">
    <w:name w:val="Revision"/>
    <w:hidden/>
    <w:uiPriority w:val="99"/>
    <w:semiHidden/>
    <w:rsid w:val="0051345F"/>
    <w:pPr>
      <w:spacing w:after="0" w:line="240" w:lineRule="auto"/>
    </w:pPr>
    <w:rPr>
      <w:rFonts w:ascii="Adobe Garamond Pro" w:hAnsi="Adobe Garamond Pro"/>
      <w:spacing w:val="-1"/>
      <w:sz w:val="24"/>
      <w:szCs w:val="24"/>
    </w:rPr>
  </w:style>
  <w:style w:type="paragraph" w:styleId="DocumentMap">
    <w:name w:val="Document Map"/>
    <w:basedOn w:val="Normal"/>
    <w:link w:val="DocumentMapChar"/>
    <w:uiPriority w:val="99"/>
    <w:semiHidden/>
    <w:unhideWhenUsed/>
    <w:rsid w:val="006335C7"/>
    <w:pPr>
      <w:spacing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6335C7"/>
    <w:rPr>
      <w:rFonts w:ascii="Lucida Grande" w:hAnsi="Lucida Grande" w:cs="Lucida Grande"/>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526789">
      <w:bodyDiv w:val="1"/>
      <w:marLeft w:val="0"/>
      <w:marRight w:val="0"/>
      <w:marTop w:val="0"/>
      <w:marBottom w:val="0"/>
      <w:divBdr>
        <w:top w:val="none" w:sz="0" w:space="0" w:color="auto"/>
        <w:left w:val="none" w:sz="0" w:space="0" w:color="auto"/>
        <w:bottom w:val="none" w:sz="0" w:space="0" w:color="auto"/>
        <w:right w:val="none" w:sz="0" w:space="0" w:color="auto"/>
      </w:divBdr>
      <w:divsChild>
        <w:div w:id="264702432">
          <w:marLeft w:val="0"/>
          <w:marRight w:val="0"/>
          <w:marTop w:val="0"/>
          <w:marBottom w:val="0"/>
          <w:divBdr>
            <w:top w:val="none" w:sz="0" w:space="0" w:color="auto"/>
            <w:left w:val="none" w:sz="0" w:space="0" w:color="auto"/>
            <w:bottom w:val="none" w:sz="0" w:space="0" w:color="auto"/>
            <w:right w:val="single" w:sz="6" w:space="2" w:color="DADADA"/>
          </w:divBdr>
        </w:div>
        <w:div w:id="1115832359">
          <w:marLeft w:val="0"/>
          <w:marRight w:val="0"/>
          <w:marTop w:val="0"/>
          <w:marBottom w:val="75"/>
          <w:divBdr>
            <w:top w:val="none" w:sz="0" w:space="0" w:color="auto"/>
            <w:left w:val="none" w:sz="0" w:space="0" w:color="auto"/>
            <w:bottom w:val="single" w:sz="6" w:space="2" w:color="DADADA"/>
            <w:right w:val="single" w:sz="6" w:space="0" w:color="DADADA"/>
          </w:divBdr>
          <w:divsChild>
            <w:div w:id="181864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64516">
      <w:bodyDiv w:val="1"/>
      <w:marLeft w:val="0"/>
      <w:marRight w:val="0"/>
      <w:marTop w:val="0"/>
      <w:marBottom w:val="0"/>
      <w:divBdr>
        <w:top w:val="none" w:sz="0" w:space="0" w:color="auto"/>
        <w:left w:val="none" w:sz="0" w:space="0" w:color="auto"/>
        <w:bottom w:val="none" w:sz="0" w:space="0" w:color="auto"/>
        <w:right w:val="none" w:sz="0" w:space="0" w:color="auto"/>
      </w:divBdr>
    </w:div>
    <w:div w:id="1388459583">
      <w:bodyDiv w:val="1"/>
      <w:marLeft w:val="0"/>
      <w:marRight w:val="0"/>
      <w:marTop w:val="0"/>
      <w:marBottom w:val="0"/>
      <w:divBdr>
        <w:top w:val="none" w:sz="0" w:space="0" w:color="auto"/>
        <w:left w:val="none" w:sz="0" w:space="0" w:color="auto"/>
        <w:bottom w:val="none" w:sz="0" w:space="0" w:color="auto"/>
        <w:right w:val="none" w:sz="0" w:space="0" w:color="auto"/>
      </w:divBdr>
      <w:divsChild>
        <w:div w:id="196935749">
          <w:marLeft w:val="0"/>
          <w:marRight w:val="0"/>
          <w:marTop w:val="0"/>
          <w:marBottom w:val="0"/>
          <w:divBdr>
            <w:top w:val="none" w:sz="0" w:space="0" w:color="auto"/>
            <w:left w:val="none" w:sz="0" w:space="0" w:color="auto"/>
            <w:bottom w:val="none" w:sz="0" w:space="0" w:color="auto"/>
            <w:right w:val="none" w:sz="0" w:space="0" w:color="auto"/>
          </w:divBdr>
        </w:div>
        <w:div w:id="1989280078">
          <w:marLeft w:val="0"/>
          <w:marRight w:val="0"/>
          <w:marTop w:val="0"/>
          <w:marBottom w:val="0"/>
          <w:divBdr>
            <w:top w:val="none" w:sz="0" w:space="0" w:color="auto"/>
            <w:left w:val="none" w:sz="0" w:space="0" w:color="auto"/>
            <w:bottom w:val="none" w:sz="0" w:space="0" w:color="auto"/>
            <w:right w:val="none" w:sz="0" w:space="0" w:color="auto"/>
          </w:divBdr>
        </w:div>
      </w:divsChild>
    </w:div>
    <w:div w:id="1717390150">
      <w:bodyDiv w:val="1"/>
      <w:marLeft w:val="0"/>
      <w:marRight w:val="0"/>
      <w:marTop w:val="0"/>
      <w:marBottom w:val="0"/>
      <w:divBdr>
        <w:top w:val="none" w:sz="0" w:space="0" w:color="auto"/>
        <w:left w:val="none" w:sz="0" w:space="0" w:color="auto"/>
        <w:bottom w:val="none" w:sz="0" w:space="0" w:color="auto"/>
        <w:right w:val="none" w:sz="0" w:space="0" w:color="auto"/>
      </w:divBdr>
      <w:divsChild>
        <w:div w:id="2009020476">
          <w:marLeft w:val="547"/>
          <w:marRight w:val="0"/>
          <w:marTop w:val="0"/>
          <w:marBottom w:val="0"/>
          <w:divBdr>
            <w:top w:val="none" w:sz="0" w:space="0" w:color="auto"/>
            <w:left w:val="none" w:sz="0" w:space="0" w:color="auto"/>
            <w:bottom w:val="none" w:sz="0" w:space="0" w:color="auto"/>
            <w:right w:val="none" w:sz="0" w:space="0" w:color="auto"/>
          </w:divBdr>
        </w:div>
      </w:divsChild>
    </w:div>
    <w:div w:id="196630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diagramData" Target="diagrams/data4.xml"/><Relationship Id="rId21" Type="http://schemas.openxmlformats.org/officeDocument/2006/relationships/diagramLayout" Target="diagrams/layout3.xml"/><Relationship Id="rId22" Type="http://schemas.openxmlformats.org/officeDocument/2006/relationships/diagramQuickStyle" Target="diagrams/quickStyle3.xml"/><Relationship Id="rId23" Type="http://schemas.openxmlformats.org/officeDocument/2006/relationships/diagramColors" Target="diagrams/colors3.xml"/><Relationship Id="rId24" Type="http://schemas.microsoft.com/office/2007/relationships/diagramDrawing" Target="diagrams/drawing3.xml"/><Relationship Id="rId25" Type="http://schemas.openxmlformats.org/officeDocument/2006/relationships/diagramData" Target="diagrams/data5.xml"/><Relationship Id="rId26" Type="http://schemas.openxmlformats.org/officeDocument/2006/relationships/diagramLayout" Target="diagrams/layout4.xml"/><Relationship Id="rId27" Type="http://schemas.openxmlformats.org/officeDocument/2006/relationships/diagramQuickStyle" Target="diagrams/quickStyle4.xml"/><Relationship Id="rId28" Type="http://schemas.openxmlformats.org/officeDocument/2006/relationships/diagramColors" Target="diagrams/colors4.xml"/><Relationship Id="rId29" Type="http://schemas.microsoft.com/office/2007/relationships/diagramDrawing" Target="diagrams/drawing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1.xml"/><Relationship Id="rId31" Type="http://schemas.openxmlformats.org/officeDocument/2006/relationships/header" Target="header2.xml"/><Relationship Id="rId32" Type="http://schemas.openxmlformats.org/officeDocument/2006/relationships/fontTable" Target="fontTable.xml"/><Relationship Id="rId9" Type="http://schemas.openxmlformats.org/officeDocument/2006/relationships/diagramData" Target="diagrams/data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theme" Target="theme/theme1.xml"/><Relationship Id="rId10" Type="http://schemas.openxmlformats.org/officeDocument/2006/relationships/diagramLayout" Target="diagrams/layout1.xml"/><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diagramData" Target="diagrams/data2.xml"/><Relationship Id="rId15" Type="http://schemas.openxmlformats.org/officeDocument/2006/relationships/diagramData" Target="diagrams/data3.xml"/><Relationship Id="rId16" Type="http://schemas.openxmlformats.org/officeDocument/2006/relationships/diagramLayout" Target="diagrams/layout2.xml"/><Relationship Id="rId17" Type="http://schemas.openxmlformats.org/officeDocument/2006/relationships/diagramQuickStyle" Target="diagrams/quickStyle2.xml"/><Relationship Id="rId18" Type="http://schemas.openxmlformats.org/officeDocument/2006/relationships/diagramColors" Target="diagrams/colors2.xml"/><Relationship Id="rId19" Type="http://schemas.microsoft.com/office/2007/relationships/diagramDrawing" Target="diagrams/drawing2.xml"/><Relationship Id="rId60" Type="http://schemas.microsoft.com/office/2011/relationships/commentsExtended" Target="commentsExtended.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21BBFD1-8E04-4782-8723-BAB47E8AE3CC}" type="doc">
      <dgm:prSet loTypeId="urn:microsoft.com/office/officeart/2005/8/layout/arrow3" loCatId="relationship" qsTypeId="urn:microsoft.com/office/officeart/2005/8/quickstyle/simple1" qsCatId="simple" csTypeId="urn:microsoft.com/office/officeart/2005/8/colors/accent3_2" csCatId="accent3" phldr="1"/>
      <dgm:spPr/>
      <dgm:t>
        <a:bodyPr/>
        <a:lstStyle/>
        <a:p>
          <a:endParaRPr lang="en-US"/>
        </a:p>
      </dgm:t>
    </dgm:pt>
    <dgm:pt modelId="{49986539-E782-4780-B3F3-D3449DA55A53}">
      <dgm:prSet phldrT="[Text]"/>
      <dgm:spPr/>
      <dgm:t>
        <a:bodyPr/>
        <a:lstStyle/>
        <a:p>
          <a:r>
            <a:rPr lang="en-US" dirty="0" smtClean="0">
              <a:latin typeface="Adobe Garamond Pro" panose="02020502060506020403" pitchFamily="18" charset="0"/>
            </a:rPr>
            <a:t>Interconnected Teacher Education Systems Lack Coherence </a:t>
          </a:r>
          <a:endParaRPr lang="en-US" dirty="0">
            <a:latin typeface="Adobe Garamond Pro" panose="02020502060506020403" pitchFamily="18" charset="0"/>
          </a:endParaRPr>
        </a:p>
      </dgm:t>
    </dgm:pt>
    <dgm:pt modelId="{98528CF3-C407-4991-A68A-C195F5157308}" type="parTrans" cxnId="{D5A7FE7F-A17F-4B0A-9C1E-BAFB3E73FE08}">
      <dgm:prSet/>
      <dgm:spPr/>
      <dgm:t>
        <a:bodyPr/>
        <a:lstStyle/>
        <a:p>
          <a:endParaRPr lang="en-US"/>
        </a:p>
      </dgm:t>
    </dgm:pt>
    <dgm:pt modelId="{4227E4EF-E230-401F-A52A-0B51C87E43BE}" type="sibTrans" cxnId="{D5A7FE7F-A17F-4B0A-9C1E-BAFB3E73FE08}">
      <dgm:prSet/>
      <dgm:spPr/>
      <dgm:t>
        <a:bodyPr/>
        <a:lstStyle/>
        <a:p>
          <a:endParaRPr lang="en-US"/>
        </a:p>
      </dgm:t>
    </dgm:pt>
    <dgm:pt modelId="{04C017CC-6B4D-4538-8EAA-AC0D2E460870}">
      <dgm:prSet phldrT="[Text]"/>
      <dgm:spPr/>
      <dgm:t>
        <a:bodyPr/>
        <a:lstStyle/>
        <a:p>
          <a:r>
            <a:rPr lang="en-US" dirty="0" smtClean="0">
              <a:latin typeface="Adobe Garamond Pro" panose="02020502060506020403" pitchFamily="18" charset="0"/>
            </a:rPr>
            <a:t>Predictability and Sustainability destabilized by Context</a:t>
          </a:r>
          <a:endParaRPr lang="en-US" dirty="0">
            <a:latin typeface="Adobe Garamond Pro" panose="02020502060506020403" pitchFamily="18" charset="0"/>
          </a:endParaRPr>
        </a:p>
      </dgm:t>
    </dgm:pt>
    <dgm:pt modelId="{26F00042-532C-4CD6-B7D4-2A16706DF44F}" type="parTrans" cxnId="{5720320E-54D7-4BD8-BCAC-6829928CDF42}">
      <dgm:prSet/>
      <dgm:spPr/>
      <dgm:t>
        <a:bodyPr/>
        <a:lstStyle/>
        <a:p>
          <a:endParaRPr lang="en-US"/>
        </a:p>
      </dgm:t>
    </dgm:pt>
    <dgm:pt modelId="{369D665D-E3CD-4034-B58D-C38AA2C37FFE}" type="sibTrans" cxnId="{5720320E-54D7-4BD8-BCAC-6829928CDF42}">
      <dgm:prSet/>
      <dgm:spPr/>
      <dgm:t>
        <a:bodyPr/>
        <a:lstStyle/>
        <a:p>
          <a:endParaRPr lang="en-US"/>
        </a:p>
      </dgm:t>
    </dgm:pt>
    <dgm:pt modelId="{0325757D-BC51-40FE-97DC-03F674A04F8B}" type="pres">
      <dgm:prSet presAssocID="{821BBFD1-8E04-4782-8723-BAB47E8AE3CC}" presName="compositeShape" presStyleCnt="0">
        <dgm:presLayoutVars>
          <dgm:chMax val="2"/>
          <dgm:dir/>
          <dgm:resizeHandles val="exact"/>
        </dgm:presLayoutVars>
      </dgm:prSet>
      <dgm:spPr/>
      <dgm:t>
        <a:bodyPr/>
        <a:lstStyle/>
        <a:p>
          <a:endParaRPr lang="en-US"/>
        </a:p>
      </dgm:t>
    </dgm:pt>
    <dgm:pt modelId="{78D19574-B54C-4ABD-8F49-0B67F6519B33}" type="pres">
      <dgm:prSet presAssocID="{821BBFD1-8E04-4782-8723-BAB47E8AE3CC}" presName="divider" presStyleLbl="fgShp" presStyleIdx="0" presStyleCnt="1"/>
      <dgm:spPr/>
    </dgm:pt>
    <dgm:pt modelId="{1156F275-115E-467A-BF7E-20AEC35A703B}" type="pres">
      <dgm:prSet presAssocID="{04C017CC-6B4D-4538-8EAA-AC0D2E460870}" presName="downArrow" presStyleLbl="node1" presStyleIdx="0" presStyleCnt="2"/>
      <dgm:spPr/>
    </dgm:pt>
    <dgm:pt modelId="{377CC872-B779-4F57-BD04-2B57A84BE510}" type="pres">
      <dgm:prSet presAssocID="{04C017CC-6B4D-4538-8EAA-AC0D2E460870}" presName="downArrowText" presStyleLbl="revTx" presStyleIdx="0" presStyleCnt="2">
        <dgm:presLayoutVars>
          <dgm:bulletEnabled val="1"/>
        </dgm:presLayoutVars>
      </dgm:prSet>
      <dgm:spPr/>
      <dgm:t>
        <a:bodyPr/>
        <a:lstStyle/>
        <a:p>
          <a:endParaRPr lang="en-US"/>
        </a:p>
      </dgm:t>
    </dgm:pt>
    <dgm:pt modelId="{A6197E6C-984D-4ABE-8407-AB607B35551A}" type="pres">
      <dgm:prSet presAssocID="{49986539-E782-4780-B3F3-D3449DA55A53}" presName="upArrow" presStyleLbl="node1" presStyleIdx="1" presStyleCnt="2"/>
      <dgm:spPr/>
    </dgm:pt>
    <dgm:pt modelId="{48179F05-B720-4930-8E98-D34FF3403621}" type="pres">
      <dgm:prSet presAssocID="{49986539-E782-4780-B3F3-D3449DA55A53}" presName="upArrowText" presStyleLbl="revTx" presStyleIdx="1" presStyleCnt="2">
        <dgm:presLayoutVars>
          <dgm:bulletEnabled val="1"/>
        </dgm:presLayoutVars>
      </dgm:prSet>
      <dgm:spPr/>
      <dgm:t>
        <a:bodyPr/>
        <a:lstStyle/>
        <a:p>
          <a:endParaRPr lang="en-US"/>
        </a:p>
      </dgm:t>
    </dgm:pt>
  </dgm:ptLst>
  <dgm:cxnLst>
    <dgm:cxn modelId="{89DBD980-0221-4314-B8D1-562C23F6CAF5}" type="presOf" srcId="{49986539-E782-4780-B3F3-D3449DA55A53}" destId="{48179F05-B720-4930-8E98-D34FF3403621}" srcOrd="0" destOrd="0" presId="urn:microsoft.com/office/officeart/2005/8/layout/arrow3"/>
    <dgm:cxn modelId="{5720320E-54D7-4BD8-BCAC-6829928CDF42}" srcId="{821BBFD1-8E04-4782-8723-BAB47E8AE3CC}" destId="{04C017CC-6B4D-4538-8EAA-AC0D2E460870}" srcOrd="0" destOrd="0" parTransId="{26F00042-532C-4CD6-B7D4-2A16706DF44F}" sibTransId="{369D665D-E3CD-4034-B58D-C38AA2C37FFE}"/>
    <dgm:cxn modelId="{D5A7FE7F-A17F-4B0A-9C1E-BAFB3E73FE08}" srcId="{821BBFD1-8E04-4782-8723-BAB47E8AE3CC}" destId="{49986539-E782-4780-B3F3-D3449DA55A53}" srcOrd="1" destOrd="0" parTransId="{98528CF3-C407-4991-A68A-C195F5157308}" sibTransId="{4227E4EF-E230-401F-A52A-0B51C87E43BE}"/>
    <dgm:cxn modelId="{FC79EFA3-3EA6-43D4-9B6D-10EE642F0AA1}" type="presOf" srcId="{04C017CC-6B4D-4538-8EAA-AC0D2E460870}" destId="{377CC872-B779-4F57-BD04-2B57A84BE510}" srcOrd="0" destOrd="0" presId="urn:microsoft.com/office/officeart/2005/8/layout/arrow3"/>
    <dgm:cxn modelId="{6A7E4592-F50D-4C8C-B7E0-BF034291B169}" type="presOf" srcId="{821BBFD1-8E04-4782-8723-BAB47E8AE3CC}" destId="{0325757D-BC51-40FE-97DC-03F674A04F8B}" srcOrd="0" destOrd="0" presId="urn:microsoft.com/office/officeart/2005/8/layout/arrow3"/>
    <dgm:cxn modelId="{4DA8BCB1-9073-4BCC-97E9-5C3C8534AE19}" type="presParOf" srcId="{0325757D-BC51-40FE-97DC-03F674A04F8B}" destId="{78D19574-B54C-4ABD-8F49-0B67F6519B33}" srcOrd="0" destOrd="0" presId="urn:microsoft.com/office/officeart/2005/8/layout/arrow3"/>
    <dgm:cxn modelId="{FA291610-D113-4F84-B041-C089B700BCAC}" type="presParOf" srcId="{0325757D-BC51-40FE-97DC-03F674A04F8B}" destId="{1156F275-115E-467A-BF7E-20AEC35A703B}" srcOrd="1" destOrd="0" presId="urn:microsoft.com/office/officeart/2005/8/layout/arrow3"/>
    <dgm:cxn modelId="{0837A6C0-F262-455A-A510-A0915D8514A3}" type="presParOf" srcId="{0325757D-BC51-40FE-97DC-03F674A04F8B}" destId="{377CC872-B779-4F57-BD04-2B57A84BE510}" srcOrd="2" destOrd="0" presId="urn:microsoft.com/office/officeart/2005/8/layout/arrow3"/>
    <dgm:cxn modelId="{8D15881E-F3F4-4128-BF65-608F87F3980A}" type="presParOf" srcId="{0325757D-BC51-40FE-97DC-03F674A04F8B}" destId="{A6197E6C-984D-4ABE-8407-AB607B35551A}" srcOrd="3" destOrd="0" presId="urn:microsoft.com/office/officeart/2005/8/layout/arrow3"/>
    <dgm:cxn modelId="{395FC365-1F62-4A03-BDCF-C6C4E86EB1FD}" type="presParOf" srcId="{0325757D-BC51-40FE-97DC-03F674A04F8B}" destId="{48179F05-B720-4930-8E98-D34FF3403621}" srcOrd="4" destOrd="0" presId="urn:microsoft.com/office/officeart/2005/8/layout/arrow3"/>
  </dgm:cxnLst>
  <dgm:bg/>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821BBFD1-8E04-4782-8723-BAB47E8AE3CC}" type="doc">
      <dgm:prSet loTypeId="urn:microsoft.com/office/officeart/2005/8/layout/arrow3" loCatId="relationship" qsTypeId="urn:microsoft.com/office/officeart/2005/8/quickstyle/simple1" qsCatId="simple" csTypeId="urn:microsoft.com/office/officeart/2005/8/colors/accent3_2" csCatId="accent3" phldr="1"/>
      <dgm:spPr/>
      <dgm:t>
        <a:bodyPr/>
        <a:lstStyle/>
        <a:p>
          <a:endParaRPr lang="en-US"/>
        </a:p>
      </dgm:t>
    </dgm:pt>
    <dgm:pt modelId="{49986539-E782-4780-B3F3-D3449DA55A53}">
      <dgm:prSet phldrT="[Text]"/>
      <dgm:spPr/>
      <dgm:t>
        <a:bodyPr/>
        <a:lstStyle/>
        <a:p>
          <a:r>
            <a:rPr lang="en-US" dirty="0" smtClean="0">
              <a:latin typeface="Adobe Garamond Pro" panose="02020502060506020403" pitchFamily="18" charset="0"/>
            </a:rPr>
            <a:t>Interconnected Teacher Education Systems Lack Coherence </a:t>
          </a:r>
          <a:endParaRPr lang="en-US" dirty="0">
            <a:latin typeface="Adobe Garamond Pro" panose="02020502060506020403" pitchFamily="18" charset="0"/>
          </a:endParaRPr>
        </a:p>
      </dgm:t>
    </dgm:pt>
    <dgm:pt modelId="{98528CF3-C407-4991-A68A-C195F5157308}" type="parTrans" cxnId="{D5A7FE7F-A17F-4B0A-9C1E-BAFB3E73FE08}">
      <dgm:prSet/>
      <dgm:spPr/>
      <dgm:t>
        <a:bodyPr/>
        <a:lstStyle/>
        <a:p>
          <a:endParaRPr lang="en-US"/>
        </a:p>
      </dgm:t>
    </dgm:pt>
    <dgm:pt modelId="{4227E4EF-E230-401F-A52A-0B51C87E43BE}" type="sibTrans" cxnId="{D5A7FE7F-A17F-4B0A-9C1E-BAFB3E73FE08}">
      <dgm:prSet/>
      <dgm:spPr/>
      <dgm:t>
        <a:bodyPr/>
        <a:lstStyle/>
        <a:p>
          <a:endParaRPr lang="en-US"/>
        </a:p>
      </dgm:t>
    </dgm:pt>
    <dgm:pt modelId="{04C017CC-6B4D-4538-8EAA-AC0D2E460870}">
      <dgm:prSet phldrT="[Text]"/>
      <dgm:spPr/>
      <dgm:t>
        <a:bodyPr/>
        <a:lstStyle/>
        <a:p>
          <a:r>
            <a:rPr lang="en-US" dirty="0" smtClean="0">
              <a:latin typeface="Adobe Garamond Pro" panose="02020502060506020403" pitchFamily="18" charset="0"/>
            </a:rPr>
            <a:t>Predictability and Sustainability destabilized by Context</a:t>
          </a:r>
          <a:endParaRPr lang="en-US" dirty="0">
            <a:latin typeface="Adobe Garamond Pro" panose="02020502060506020403" pitchFamily="18" charset="0"/>
          </a:endParaRPr>
        </a:p>
      </dgm:t>
    </dgm:pt>
    <dgm:pt modelId="{26F00042-532C-4CD6-B7D4-2A16706DF44F}" type="parTrans" cxnId="{5720320E-54D7-4BD8-BCAC-6829928CDF42}">
      <dgm:prSet/>
      <dgm:spPr/>
      <dgm:t>
        <a:bodyPr/>
        <a:lstStyle/>
        <a:p>
          <a:endParaRPr lang="en-US"/>
        </a:p>
      </dgm:t>
    </dgm:pt>
    <dgm:pt modelId="{369D665D-E3CD-4034-B58D-C38AA2C37FFE}" type="sibTrans" cxnId="{5720320E-54D7-4BD8-BCAC-6829928CDF42}">
      <dgm:prSet/>
      <dgm:spPr/>
      <dgm:t>
        <a:bodyPr/>
        <a:lstStyle/>
        <a:p>
          <a:endParaRPr lang="en-US"/>
        </a:p>
      </dgm:t>
    </dgm:pt>
    <dgm:pt modelId="{0325757D-BC51-40FE-97DC-03F674A04F8B}" type="pres">
      <dgm:prSet presAssocID="{821BBFD1-8E04-4782-8723-BAB47E8AE3CC}" presName="compositeShape" presStyleCnt="0">
        <dgm:presLayoutVars>
          <dgm:chMax val="2"/>
          <dgm:dir/>
          <dgm:resizeHandles val="exact"/>
        </dgm:presLayoutVars>
      </dgm:prSet>
      <dgm:spPr/>
      <dgm:t>
        <a:bodyPr/>
        <a:lstStyle/>
        <a:p>
          <a:endParaRPr lang="en-US"/>
        </a:p>
      </dgm:t>
    </dgm:pt>
    <dgm:pt modelId="{78D19574-B54C-4ABD-8F49-0B67F6519B33}" type="pres">
      <dgm:prSet presAssocID="{821BBFD1-8E04-4782-8723-BAB47E8AE3CC}" presName="divider" presStyleLbl="fgShp" presStyleIdx="0" presStyleCnt="1"/>
      <dgm:spPr/>
    </dgm:pt>
    <dgm:pt modelId="{1156F275-115E-467A-BF7E-20AEC35A703B}" type="pres">
      <dgm:prSet presAssocID="{04C017CC-6B4D-4538-8EAA-AC0D2E460870}" presName="downArrow" presStyleLbl="node1" presStyleIdx="0" presStyleCnt="2"/>
      <dgm:spPr/>
    </dgm:pt>
    <dgm:pt modelId="{377CC872-B779-4F57-BD04-2B57A84BE510}" type="pres">
      <dgm:prSet presAssocID="{04C017CC-6B4D-4538-8EAA-AC0D2E460870}" presName="downArrowText" presStyleLbl="revTx" presStyleIdx="0" presStyleCnt="2">
        <dgm:presLayoutVars>
          <dgm:bulletEnabled val="1"/>
        </dgm:presLayoutVars>
      </dgm:prSet>
      <dgm:spPr/>
      <dgm:t>
        <a:bodyPr/>
        <a:lstStyle/>
        <a:p>
          <a:endParaRPr lang="en-US"/>
        </a:p>
      </dgm:t>
    </dgm:pt>
    <dgm:pt modelId="{A6197E6C-984D-4ABE-8407-AB607B35551A}" type="pres">
      <dgm:prSet presAssocID="{49986539-E782-4780-B3F3-D3449DA55A53}" presName="upArrow" presStyleLbl="node1" presStyleIdx="1" presStyleCnt="2"/>
      <dgm:spPr/>
    </dgm:pt>
    <dgm:pt modelId="{48179F05-B720-4930-8E98-D34FF3403621}" type="pres">
      <dgm:prSet presAssocID="{49986539-E782-4780-B3F3-D3449DA55A53}" presName="upArrowText" presStyleLbl="revTx" presStyleIdx="1" presStyleCnt="2">
        <dgm:presLayoutVars>
          <dgm:bulletEnabled val="1"/>
        </dgm:presLayoutVars>
      </dgm:prSet>
      <dgm:spPr/>
      <dgm:t>
        <a:bodyPr/>
        <a:lstStyle/>
        <a:p>
          <a:endParaRPr lang="en-US"/>
        </a:p>
      </dgm:t>
    </dgm:pt>
  </dgm:ptLst>
  <dgm:cxnLst>
    <dgm:cxn modelId="{89DBD980-0221-4314-B8D1-562C23F6CAF5}" type="presOf" srcId="{49986539-E782-4780-B3F3-D3449DA55A53}" destId="{48179F05-B720-4930-8E98-D34FF3403621}" srcOrd="0" destOrd="0" presId="urn:microsoft.com/office/officeart/2005/8/layout/arrow3"/>
    <dgm:cxn modelId="{5720320E-54D7-4BD8-BCAC-6829928CDF42}" srcId="{821BBFD1-8E04-4782-8723-BAB47E8AE3CC}" destId="{04C017CC-6B4D-4538-8EAA-AC0D2E460870}" srcOrd="0" destOrd="0" parTransId="{26F00042-532C-4CD6-B7D4-2A16706DF44F}" sibTransId="{369D665D-E3CD-4034-B58D-C38AA2C37FFE}"/>
    <dgm:cxn modelId="{D5A7FE7F-A17F-4B0A-9C1E-BAFB3E73FE08}" srcId="{821BBFD1-8E04-4782-8723-BAB47E8AE3CC}" destId="{49986539-E782-4780-B3F3-D3449DA55A53}" srcOrd="1" destOrd="0" parTransId="{98528CF3-C407-4991-A68A-C195F5157308}" sibTransId="{4227E4EF-E230-401F-A52A-0B51C87E43BE}"/>
    <dgm:cxn modelId="{FC79EFA3-3EA6-43D4-9B6D-10EE642F0AA1}" type="presOf" srcId="{04C017CC-6B4D-4538-8EAA-AC0D2E460870}" destId="{377CC872-B779-4F57-BD04-2B57A84BE510}" srcOrd="0" destOrd="0" presId="urn:microsoft.com/office/officeart/2005/8/layout/arrow3"/>
    <dgm:cxn modelId="{6A7E4592-F50D-4C8C-B7E0-BF034291B169}" type="presOf" srcId="{821BBFD1-8E04-4782-8723-BAB47E8AE3CC}" destId="{0325757D-BC51-40FE-97DC-03F674A04F8B}" srcOrd="0" destOrd="0" presId="urn:microsoft.com/office/officeart/2005/8/layout/arrow3"/>
    <dgm:cxn modelId="{4DA8BCB1-9073-4BCC-97E9-5C3C8534AE19}" type="presParOf" srcId="{0325757D-BC51-40FE-97DC-03F674A04F8B}" destId="{78D19574-B54C-4ABD-8F49-0B67F6519B33}" srcOrd="0" destOrd="0" presId="urn:microsoft.com/office/officeart/2005/8/layout/arrow3"/>
    <dgm:cxn modelId="{FA291610-D113-4F84-B041-C089B700BCAC}" type="presParOf" srcId="{0325757D-BC51-40FE-97DC-03F674A04F8B}" destId="{1156F275-115E-467A-BF7E-20AEC35A703B}" srcOrd="1" destOrd="0" presId="urn:microsoft.com/office/officeart/2005/8/layout/arrow3"/>
    <dgm:cxn modelId="{0837A6C0-F262-455A-A510-A0915D8514A3}" type="presParOf" srcId="{0325757D-BC51-40FE-97DC-03F674A04F8B}" destId="{377CC872-B779-4F57-BD04-2B57A84BE510}" srcOrd="2" destOrd="0" presId="urn:microsoft.com/office/officeart/2005/8/layout/arrow3"/>
    <dgm:cxn modelId="{8D15881E-F3F4-4128-BF65-608F87F3980A}" type="presParOf" srcId="{0325757D-BC51-40FE-97DC-03F674A04F8B}" destId="{A6197E6C-984D-4ABE-8407-AB607B35551A}" srcOrd="3" destOrd="0" presId="urn:microsoft.com/office/officeart/2005/8/layout/arrow3"/>
    <dgm:cxn modelId="{395FC365-1F62-4A03-BDCF-C6C4E86EB1FD}" type="presParOf" srcId="{0325757D-BC51-40FE-97DC-03F674A04F8B}" destId="{48179F05-B720-4930-8E98-D34FF3403621}" srcOrd="4" destOrd="0" presId="urn:microsoft.com/office/officeart/2005/8/layout/arrow3"/>
  </dgm:cxnLst>
  <dgm:bg/>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ata3.xml><?xml version="1.0" encoding="utf-8"?>
<dgm:dataModel xmlns:dgm="http://schemas.openxmlformats.org/drawingml/2006/diagram" xmlns:a="http://schemas.openxmlformats.org/drawingml/2006/main">
  <dgm:ptLst>
    <dgm:pt modelId="{1AA70F03-8C91-4739-836F-9AB9BA9F1952}" type="doc">
      <dgm:prSet loTypeId="urn:microsoft.com/office/officeart/2005/8/layout/target3" loCatId="relationship" qsTypeId="urn:microsoft.com/office/officeart/2005/8/quickstyle/simple1" qsCatId="simple" csTypeId="urn:microsoft.com/office/officeart/2005/8/colors/accent0_1" csCatId="mainScheme" phldr="1"/>
      <dgm:spPr/>
      <dgm:t>
        <a:bodyPr/>
        <a:lstStyle/>
        <a:p>
          <a:endParaRPr lang="en-US"/>
        </a:p>
      </dgm:t>
    </dgm:pt>
    <dgm:pt modelId="{D9732A6E-701F-44AA-ABEF-BA37846B2995}">
      <dgm:prSet phldrT="[Text]"/>
      <dgm:spPr>
        <a:xfrm>
          <a:off x="133526" y="729122"/>
          <a:ext cx="1064121" cy="280986"/>
        </a:xfrm>
      </dgm:spPr>
      <dgm:t>
        <a:bodyPr/>
        <a:lstStyle/>
        <a:p>
          <a:pPr algn="l"/>
          <a:r>
            <a:rPr lang="en-US">
              <a:latin typeface="Adobe Heiti Std R" panose="020B0400000000000000" pitchFamily="34" charset="-128"/>
              <a:ea typeface="Adobe Heiti Std R" panose="020B0400000000000000" pitchFamily="34" charset="-128"/>
              <a:cs typeface="+mn-cs"/>
            </a:rPr>
            <a:t>Content and Pedagogical Knowledge</a:t>
          </a:r>
        </a:p>
      </dgm:t>
    </dgm:pt>
    <dgm:pt modelId="{0D9DDF9D-52B1-48A7-B5A8-7AE44034AA13}" type="parTrans" cxnId="{3D5B0C6B-02EB-42F1-903B-D9971EA5271C}">
      <dgm:prSet/>
      <dgm:spPr/>
      <dgm:t>
        <a:bodyPr/>
        <a:lstStyle/>
        <a:p>
          <a:pPr algn="l"/>
          <a:endParaRPr lang="en-US">
            <a:latin typeface="Adobe Heiti Std R" panose="020B0400000000000000" pitchFamily="34" charset="-128"/>
            <a:ea typeface="Adobe Heiti Std R" panose="020B0400000000000000" pitchFamily="34" charset="-128"/>
          </a:endParaRPr>
        </a:p>
      </dgm:t>
    </dgm:pt>
    <dgm:pt modelId="{8E316090-6C7D-4BF5-ADF4-F6B2861D21D4}" type="sibTrans" cxnId="{3D5B0C6B-02EB-42F1-903B-D9971EA5271C}">
      <dgm:prSet/>
      <dgm:spPr/>
      <dgm:t>
        <a:bodyPr/>
        <a:lstStyle/>
        <a:p>
          <a:pPr algn="l"/>
          <a:endParaRPr lang="en-US">
            <a:latin typeface="Adobe Heiti Std R" panose="020B0400000000000000" pitchFamily="34" charset="-128"/>
            <a:ea typeface="Adobe Heiti Std R" panose="020B0400000000000000" pitchFamily="34" charset="-128"/>
          </a:endParaRPr>
        </a:p>
      </dgm:t>
    </dgm:pt>
    <dgm:pt modelId="{C28AFD7F-65E1-4046-A088-8160B3EEF961}">
      <dgm:prSet phldrT="[Text]"/>
      <dgm:spPr>
        <a:xfrm>
          <a:off x="133526" y="1053337"/>
          <a:ext cx="1064121" cy="280986"/>
        </a:xfrm>
      </dgm:spPr>
      <dgm:t>
        <a:bodyPr/>
        <a:lstStyle/>
        <a:p>
          <a:pPr algn="l"/>
          <a:r>
            <a:rPr lang="en-US">
              <a:latin typeface="Adobe Heiti Std R" panose="020B0400000000000000" pitchFamily="34" charset="-128"/>
              <a:ea typeface="Adobe Heiti Std R" panose="020B0400000000000000" pitchFamily="34" charset="-128"/>
              <a:cs typeface="+mn-cs"/>
            </a:rPr>
            <a:t>Clinical Partnerships and Practice</a:t>
          </a:r>
        </a:p>
      </dgm:t>
    </dgm:pt>
    <dgm:pt modelId="{752985E7-7B66-46A1-9C6A-48AC53ED6A56}" type="parTrans" cxnId="{25B86CB4-1D9A-4C04-924F-E5A3AD20841D}">
      <dgm:prSet/>
      <dgm:spPr/>
      <dgm:t>
        <a:bodyPr/>
        <a:lstStyle/>
        <a:p>
          <a:pPr algn="l"/>
          <a:endParaRPr lang="en-US">
            <a:latin typeface="Adobe Heiti Std R" panose="020B0400000000000000" pitchFamily="34" charset="-128"/>
            <a:ea typeface="Adobe Heiti Std R" panose="020B0400000000000000" pitchFamily="34" charset="-128"/>
          </a:endParaRPr>
        </a:p>
      </dgm:t>
    </dgm:pt>
    <dgm:pt modelId="{570BAC07-6859-4230-A30C-A8EAB55800CB}" type="sibTrans" cxnId="{25B86CB4-1D9A-4C04-924F-E5A3AD20841D}">
      <dgm:prSet/>
      <dgm:spPr/>
      <dgm:t>
        <a:bodyPr/>
        <a:lstStyle/>
        <a:p>
          <a:pPr algn="l"/>
          <a:endParaRPr lang="en-US">
            <a:latin typeface="Adobe Heiti Std R" panose="020B0400000000000000" pitchFamily="34" charset="-128"/>
            <a:ea typeface="Adobe Heiti Std R" panose="020B0400000000000000" pitchFamily="34" charset="-128"/>
          </a:endParaRPr>
        </a:p>
      </dgm:t>
    </dgm:pt>
    <dgm:pt modelId="{34F2C053-2595-4E09-BD50-878FA6FDC39D}">
      <dgm:prSet phldrT="[Text]"/>
      <dgm:spPr>
        <a:xfrm>
          <a:off x="1430424" y="0"/>
          <a:ext cx="1330151" cy="2428875"/>
        </a:xfrm>
      </dgm:spPr>
      <dgm:t>
        <a:bodyPr/>
        <a:lstStyle/>
        <a:p>
          <a:pPr algn="l"/>
          <a:r>
            <a:rPr lang="en-US">
              <a:latin typeface="Adobe Heiti Std R" panose="020B0400000000000000" pitchFamily="34" charset="-128"/>
              <a:ea typeface="Adobe Heiti Std R" panose="020B0400000000000000" pitchFamily="34" charset="-128"/>
              <a:cs typeface="+mn-cs"/>
            </a:rPr>
            <a:t>INTASC</a:t>
          </a:r>
        </a:p>
      </dgm:t>
    </dgm:pt>
    <dgm:pt modelId="{81DD2DCE-47B1-4ED4-9DAA-36803935E37F}" type="parTrans" cxnId="{10800AB7-134D-4A74-8D98-7DF1890FB870}">
      <dgm:prSet/>
      <dgm:spPr/>
      <dgm:t>
        <a:bodyPr/>
        <a:lstStyle/>
        <a:p>
          <a:pPr algn="l"/>
          <a:endParaRPr lang="en-US">
            <a:latin typeface="Adobe Heiti Std R" panose="020B0400000000000000" pitchFamily="34" charset="-128"/>
            <a:ea typeface="Adobe Heiti Std R" panose="020B0400000000000000" pitchFamily="34" charset="-128"/>
          </a:endParaRPr>
        </a:p>
      </dgm:t>
    </dgm:pt>
    <dgm:pt modelId="{B91D86C1-B210-4AA4-855B-8D9907846BFE}" type="sibTrans" cxnId="{10800AB7-134D-4A74-8D98-7DF1890FB870}">
      <dgm:prSet/>
      <dgm:spPr/>
      <dgm:t>
        <a:bodyPr/>
        <a:lstStyle/>
        <a:p>
          <a:pPr algn="l"/>
          <a:endParaRPr lang="en-US">
            <a:latin typeface="Adobe Heiti Std R" panose="020B0400000000000000" pitchFamily="34" charset="-128"/>
            <a:ea typeface="Adobe Heiti Std R" panose="020B0400000000000000" pitchFamily="34" charset="-128"/>
          </a:endParaRPr>
        </a:p>
      </dgm:t>
    </dgm:pt>
    <dgm:pt modelId="{97543058-1A78-40EE-B789-D0F9C9422FDC}">
      <dgm:prSet phldrT="[Text]"/>
      <dgm:spPr>
        <a:xfrm>
          <a:off x="2860337" y="0"/>
          <a:ext cx="1330151" cy="2428875"/>
        </a:xfrm>
      </dgm:spPr>
      <dgm:t>
        <a:bodyPr/>
        <a:lstStyle/>
        <a:p>
          <a:pPr algn="l"/>
          <a:r>
            <a:rPr lang="en-US">
              <a:latin typeface="Adobe Heiti Std R" panose="020B0400000000000000" pitchFamily="34" charset="-128"/>
              <a:ea typeface="Adobe Heiti Std R" panose="020B0400000000000000" pitchFamily="34" charset="-128"/>
              <a:cs typeface="+mn-cs"/>
            </a:rPr>
            <a:t>CEC</a:t>
          </a:r>
        </a:p>
      </dgm:t>
    </dgm:pt>
    <dgm:pt modelId="{A2DD6FDE-247A-482B-95CF-108EC2186A79}" type="parTrans" cxnId="{9685A065-F481-4894-87F7-71FD29CAECC2}">
      <dgm:prSet/>
      <dgm:spPr/>
      <dgm:t>
        <a:bodyPr/>
        <a:lstStyle/>
        <a:p>
          <a:pPr algn="l"/>
          <a:endParaRPr lang="en-US">
            <a:latin typeface="Adobe Heiti Std R" panose="020B0400000000000000" pitchFamily="34" charset="-128"/>
            <a:ea typeface="Adobe Heiti Std R" panose="020B0400000000000000" pitchFamily="34" charset="-128"/>
          </a:endParaRPr>
        </a:p>
      </dgm:t>
    </dgm:pt>
    <dgm:pt modelId="{30218134-5EB0-4314-9700-4D40AA75F5D8}" type="sibTrans" cxnId="{9685A065-F481-4894-87F7-71FD29CAECC2}">
      <dgm:prSet/>
      <dgm:spPr/>
      <dgm:t>
        <a:bodyPr/>
        <a:lstStyle/>
        <a:p>
          <a:pPr algn="l"/>
          <a:endParaRPr lang="en-US">
            <a:latin typeface="Adobe Heiti Std R" panose="020B0400000000000000" pitchFamily="34" charset="-128"/>
            <a:ea typeface="Adobe Heiti Std R" panose="020B0400000000000000" pitchFamily="34" charset="-128"/>
          </a:endParaRPr>
        </a:p>
      </dgm:t>
    </dgm:pt>
    <dgm:pt modelId="{AA74AA23-CE43-4FCA-9B71-47A674B16F91}">
      <dgm:prSet phldrT="[Text]"/>
      <dgm:spPr>
        <a:xfrm>
          <a:off x="133526" y="1377553"/>
          <a:ext cx="1064121" cy="280986"/>
        </a:xfrm>
      </dgm:spPr>
      <dgm:t>
        <a:bodyPr/>
        <a:lstStyle/>
        <a:p>
          <a:pPr algn="l"/>
          <a:r>
            <a:rPr lang="en-US">
              <a:latin typeface="Adobe Heiti Std R" panose="020B0400000000000000" pitchFamily="34" charset="-128"/>
              <a:ea typeface="Adobe Heiti Std R" panose="020B0400000000000000" pitchFamily="34" charset="-128"/>
              <a:cs typeface="+mn-cs"/>
            </a:rPr>
            <a:t>Candidate Quality, Recruitment, and Selectivity</a:t>
          </a:r>
        </a:p>
      </dgm:t>
    </dgm:pt>
    <dgm:pt modelId="{A115463D-98A4-4624-A95F-FC8EC55585E8}" type="parTrans" cxnId="{282A7109-38CF-41E9-91F9-F3C2ADB7D0A5}">
      <dgm:prSet/>
      <dgm:spPr/>
      <dgm:t>
        <a:bodyPr/>
        <a:lstStyle/>
        <a:p>
          <a:pPr algn="l"/>
          <a:endParaRPr lang="en-US">
            <a:latin typeface="Adobe Heiti Std R" panose="020B0400000000000000" pitchFamily="34" charset="-128"/>
            <a:ea typeface="Adobe Heiti Std R" panose="020B0400000000000000" pitchFamily="34" charset="-128"/>
          </a:endParaRPr>
        </a:p>
      </dgm:t>
    </dgm:pt>
    <dgm:pt modelId="{30CDE80C-D19F-42C4-BDAD-66DC275D7133}" type="sibTrans" cxnId="{282A7109-38CF-41E9-91F9-F3C2ADB7D0A5}">
      <dgm:prSet/>
      <dgm:spPr/>
      <dgm:t>
        <a:bodyPr/>
        <a:lstStyle/>
        <a:p>
          <a:pPr algn="l"/>
          <a:endParaRPr lang="en-US">
            <a:latin typeface="Adobe Heiti Std R" panose="020B0400000000000000" pitchFamily="34" charset="-128"/>
            <a:ea typeface="Adobe Heiti Std R" panose="020B0400000000000000" pitchFamily="34" charset="-128"/>
          </a:endParaRPr>
        </a:p>
      </dgm:t>
    </dgm:pt>
    <dgm:pt modelId="{C300DBE8-F18D-4AD4-8F6C-72630140DBAA}">
      <dgm:prSet phldrT="[Text]"/>
      <dgm:spPr>
        <a:xfrm>
          <a:off x="133526" y="1701769"/>
          <a:ext cx="1064121" cy="280986"/>
        </a:xfrm>
      </dgm:spPr>
      <dgm:t>
        <a:bodyPr/>
        <a:lstStyle/>
        <a:p>
          <a:pPr algn="l"/>
          <a:r>
            <a:rPr lang="en-US">
              <a:latin typeface="Adobe Heiti Std R" panose="020B0400000000000000" pitchFamily="34" charset="-128"/>
              <a:ea typeface="Adobe Heiti Std R" panose="020B0400000000000000" pitchFamily="34" charset="-128"/>
              <a:cs typeface="+mn-cs"/>
            </a:rPr>
            <a:t>Program Impact</a:t>
          </a:r>
        </a:p>
      </dgm:t>
    </dgm:pt>
    <dgm:pt modelId="{0E55937C-E949-44B4-A30B-2C1095A0BA04}" type="parTrans" cxnId="{8C846E71-AFB8-4871-ABCF-7FF8F7E718A6}">
      <dgm:prSet/>
      <dgm:spPr/>
      <dgm:t>
        <a:bodyPr/>
        <a:lstStyle/>
        <a:p>
          <a:pPr algn="l"/>
          <a:endParaRPr lang="en-US">
            <a:latin typeface="Adobe Heiti Std R" panose="020B0400000000000000" pitchFamily="34" charset="-128"/>
            <a:ea typeface="Adobe Heiti Std R" panose="020B0400000000000000" pitchFamily="34" charset="-128"/>
          </a:endParaRPr>
        </a:p>
      </dgm:t>
    </dgm:pt>
    <dgm:pt modelId="{F3395996-7670-4BEE-B714-17245CAA10A4}" type="sibTrans" cxnId="{8C846E71-AFB8-4871-ABCF-7FF8F7E718A6}">
      <dgm:prSet/>
      <dgm:spPr/>
      <dgm:t>
        <a:bodyPr/>
        <a:lstStyle/>
        <a:p>
          <a:pPr algn="l"/>
          <a:endParaRPr lang="en-US">
            <a:latin typeface="Adobe Heiti Std R" panose="020B0400000000000000" pitchFamily="34" charset="-128"/>
            <a:ea typeface="Adobe Heiti Std R" panose="020B0400000000000000" pitchFamily="34" charset="-128"/>
          </a:endParaRPr>
        </a:p>
      </dgm:t>
    </dgm:pt>
    <dgm:pt modelId="{3BB119A3-9791-4D73-B799-B1F5DB2C5B7C}">
      <dgm:prSet phldrT="[Text]"/>
      <dgm:spPr>
        <a:xfrm>
          <a:off x="133526" y="2025984"/>
          <a:ext cx="1064121" cy="280986"/>
        </a:xfrm>
      </dgm:spPr>
      <dgm:t>
        <a:bodyPr/>
        <a:lstStyle/>
        <a:p>
          <a:pPr algn="l"/>
          <a:r>
            <a:rPr lang="en-US">
              <a:latin typeface="Adobe Heiti Std R" panose="020B0400000000000000" pitchFamily="34" charset="-128"/>
              <a:ea typeface="Adobe Heiti Std R" panose="020B0400000000000000" pitchFamily="34" charset="-128"/>
              <a:cs typeface="+mn-cs"/>
            </a:rPr>
            <a:t>Quality Assurance &amp; Continuous Improvement</a:t>
          </a:r>
        </a:p>
      </dgm:t>
    </dgm:pt>
    <dgm:pt modelId="{34185C63-09A5-4DAC-A085-DE7452C8BB6B}" type="parTrans" cxnId="{8B42F428-C9DE-484E-A472-96C0F97F033E}">
      <dgm:prSet/>
      <dgm:spPr/>
      <dgm:t>
        <a:bodyPr/>
        <a:lstStyle/>
        <a:p>
          <a:pPr algn="l"/>
          <a:endParaRPr lang="en-US">
            <a:latin typeface="Adobe Heiti Std R" panose="020B0400000000000000" pitchFamily="34" charset="-128"/>
            <a:ea typeface="Adobe Heiti Std R" panose="020B0400000000000000" pitchFamily="34" charset="-128"/>
          </a:endParaRPr>
        </a:p>
      </dgm:t>
    </dgm:pt>
    <dgm:pt modelId="{3A2FFEE2-376F-43B2-9089-260295C27DFD}" type="sibTrans" cxnId="{8B42F428-C9DE-484E-A472-96C0F97F033E}">
      <dgm:prSet/>
      <dgm:spPr/>
      <dgm:t>
        <a:bodyPr/>
        <a:lstStyle/>
        <a:p>
          <a:pPr algn="l"/>
          <a:endParaRPr lang="en-US">
            <a:latin typeface="Adobe Heiti Std R" panose="020B0400000000000000" pitchFamily="34" charset="-128"/>
            <a:ea typeface="Adobe Heiti Std R" panose="020B0400000000000000" pitchFamily="34" charset="-128"/>
          </a:endParaRPr>
        </a:p>
      </dgm:t>
    </dgm:pt>
    <dgm:pt modelId="{E319C82B-BD5A-48E5-9A52-336D5A83D9A1}">
      <dgm:prSet phldrT="[Text]"/>
      <dgm:spPr>
        <a:xfrm>
          <a:off x="2993352" y="728721"/>
          <a:ext cx="1064121" cy="353835"/>
        </a:xfrm>
      </dgm:spPr>
      <dgm:t>
        <a:bodyPr/>
        <a:lstStyle/>
        <a:p>
          <a:pPr algn="l"/>
          <a:r>
            <a:rPr lang="en-US">
              <a:latin typeface="Adobe Heiti Std R" panose="020B0400000000000000" pitchFamily="34" charset="-128"/>
              <a:ea typeface="Adobe Heiti Std R" panose="020B0400000000000000" pitchFamily="34" charset="-128"/>
              <a:cs typeface="+mn-cs"/>
            </a:rPr>
            <a:t>Learner and Learning</a:t>
          </a:r>
        </a:p>
      </dgm:t>
    </dgm:pt>
    <dgm:pt modelId="{633CCF63-C0EA-429E-BDCD-A4E0EE2B6D2F}" type="parTrans" cxnId="{0527E002-72A3-49BB-B3DF-50FD52AE002B}">
      <dgm:prSet/>
      <dgm:spPr/>
      <dgm:t>
        <a:bodyPr/>
        <a:lstStyle/>
        <a:p>
          <a:pPr algn="l"/>
          <a:endParaRPr lang="en-US">
            <a:latin typeface="Adobe Heiti Std R" panose="020B0400000000000000" pitchFamily="34" charset="-128"/>
            <a:ea typeface="Adobe Heiti Std R" panose="020B0400000000000000" pitchFamily="34" charset="-128"/>
          </a:endParaRPr>
        </a:p>
      </dgm:t>
    </dgm:pt>
    <dgm:pt modelId="{AA66164B-8C7E-463F-BF55-9A0D03CE9F54}" type="sibTrans" cxnId="{0527E002-72A3-49BB-B3DF-50FD52AE002B}">
      <dgm:prSet/>
      <dgm:spPr/>
      <dgm:t>
        <a:bodyPr/>
        <a:lstStyle/>
        <a:p>
          <a:pPr algn="l"/>
          <a:endParaRPr lang="en-US">
            <a:latin typeface="Adobe Heiti Std R" panose="020B0400000000000000" pitchFamily="34" charset="-128"/>
            <a:ea typeface="Adobe Heiti Std R" panose="020B0400000000000000" pitchFamily="34" charset="-128"/>
          </a:endParaRPr>
        </a:p>
      </dgm:t>
    </dgm:pt>
    <dgm:pt modelId="{F057BFF7-FCE3-4799-8ED8-91DB5A6F1260}">
      <dgm:prSet phldrT="[Text]"/>
      <dgm:spPr>
        <a:xfrm>
          <a:off x="2993352" y="1136993"/>
          <a:ext cx="1064121" cy="353835"/>
        </a:xfrm>
      </dgm:spPr>
      <dgm:t>
        <a:bodyPr/>
        <a:lstStyle/>
        <a:p>
          <a:pPr algn="l"/>
          <a:r>
            <a:rPr lang="en-US">
              <a:latin typeface="Adobe Heiti Std R" panose="020B0400000000000000" pitchFamily="34" charset="-128"/>
              <a:ea typeface="Adobe Heiti Std R" panose="020B0400000000000000" pitchFamily="34" charset="-128"/>
              <a:cs typeface="+mn-cs"/>
            </a:rPr>
            <a:t>Content Knowledge and Professional Foundations</a:t>
          </a:r>
        </a:p>
      </dgm:t>
    </dgm:pt>
    <dgm:pt modelId="{0FA3E821-0710-419C-95F2-57D20C96B596}" type="parTrans" cxnId="{04287819-91C0-4F00-AABE-BF85F2248F06}">
      <dgm:prSet/>
      <dgm:spPr/>
      <dgm:t>
        <a:bodyPr/>
        <a:lstStyle/>
        <a:p>
          <a:pPr algn="l"/>
          <a:endParaRPr lang="en-US">
            <a:latin typeface="Adobe Heiti Std R" panose="020B0400000000000000" pitchFamily="34" charset="-128"/>
            <a:ea typeface="Adobe Heiti Std R" panose="020B0400000000000000" pitchFamily="34" charset="-128"/>
          </a:endParaRPr>
        </a:p>
      </dgm:t>
    </dgm:pt>
    <dgm:pt modelId="{BB8BF195-937A-44C4-BDF9-E3473172F462}" type="sibTrans" cxnId="{04287819-91C0-4F00-AABE-BF85F2248F06}">
      <dgm:prSet/>
      <dgm:spPr/>
      <dgm:t>
        <a:bodyPr/>
        <a:lstStyle/>
        <a:p>
          <a:pPr algn="l"/>
          <a:endParaRPr lang="en-US">
            <a:latin typeface="Adobe Heiti Std R" panose="020B0400000000000000" pitchFamily="34" charset="-128"/>
            <a:ea typeface="Adobe Heiti Std R" panose="020B0400000000000000" pitchFamily="34" charset="-128"/>
          </a:endParaRPr>
        </a:p>
      </dgm:t>
    </dgm:pt>
    <dgm:pt modelId="{D5A78B32-A0AA-49E1-BAD9-28D1A0700B90}">
      <dgm:prSet phldrT="[Text]"/>
      <dgm:spPr>
        <a:xfrm>
          <a:off x="2993352" y="1545264"/>
          <a:ext cx="1064121" cy="353835"/>
        </a:xfrm>
      </dgm:spPr>
      <dgm:t>
        <a:bodyPr/>
        <a:lstStyle/>
        <a:p>
          <a:pPr algn="l"/>
          <a:r>
            <a:rPr lang="en-US">
              <a:latin typeface="Adobe Heiti Std R" panose="020B0400000000000000" pitchFamily="34" charset="-128"/>
              <a:ea typeface="Adobe Heiti Std R" panose="020B0400000000000000" pitchFamily="34" charset="-128"/>
              <a:cs typeface="+mn-cs"/>
            </a:rPr>
            <a:t>Instructional Pedagogy</a:t>
          </a:r>
        </a:p>
      </dgm:t>
    </dgm:pt>
    <dgm:pt modelId="{8A9E9906-C53A-4217-9195-5AB6B6A1C7F2}" type="parTrans" cxnId="{F99B3EBA-AE5F-4920-B2AB-0AAF93C10BD3}">
      <dgm:prSet/>
      <dgm:spPr/>
      <dgm:t>
        <a:bodyPr/>
        <a:lstStyle/>
        <a:p>
          <a:pPr algn="l"/>
          <a:endParaRPr lang="en-US">
            <a:latin typeface="Adobe Heiti Std R" panose="020B0400000000000000" pitchFamily="34" charset="-128"/>
            <a:ea typeface="Adobe Heiti Std R" panose="020B0400000000000000" pitchFamily="34" charset="-128"/>
          </a:endParaRPr>
        </a:p>
      </dgm:t>
    </dgm:pt>
    <dgm:pt modelId="{DD78B020-B560-4E6E-9565-0C470C7A1250}" type="sibTrans" cxnId="{F99B3EBA-AE5F-4920-B2AB-0AAF93C10BD3}">
      <dgm:prSet/>
      <dgm:spPr/>
      <dgm:t>
        <a:bodyPr/>
        <a:lstStyle/>
        <a:p>
          <a:pPr algn="l"/>
          <a:endParaRPr lang="en-US">
            <a:latin typeface="Adobe Heiti Std R" panose="020B0400000000000000" pitchFamily="34" charset="-128"/>
            <a:ea typeface="Adobe Heiti Std R" panose="020B0400000000000000" pitchFamily="34" charset="-128"/>
          </a:endParaRPr>
        </a:p>
      </dgm:t>
    </dgm:pt>
    <dgm:pt modelId="{E30A8220-4D1F-44A5-90A6-DFAB7FCABC6D}">
      <dgm:prSet phldrT="[Text]"/>
      <dgm:spPr>
        <a:xfrm>
          <a:off x="2993352" y="1953536"/>
          <a:ext cx="1064121" cy="353835"/>
        </a:xfrm>
      </dgm:spPr>
      <dgm:t>
        <a:bodyPr/>
        <a:lstStyle/>
        <a:p>
          <a:pPr algn="l"/>
          <a:r>
            <a:rPr lang="en-US">
              <a:latin typeface="Adobe Heiti Std R" panose="020B0400000000000000" pitchFamily="34" charset="-128"/>
              <a:ea typeface="Adobe Heiti Std R" panose="020B0400000000000000" pitchFamily="34" charset="-128"/>
              <a:cs typeface="+mn-cs"/>
            </a:rPr>
            <a:t>Professionalism and Collaboration</a:t>
          </a:r>
        </a:p>
      </dgm:t>
    </dgm:pt>
    <dgm:pt modelId="{2674DBB7-F9AA-41CC-8F39-F809A73C42E6}" type="parTrans" cxnId="{753D063D-6022-4575-B90C-7AAAC2DEC12F}">
      <dgm:prSet/>
      <dgm:spPr/>
      <dgm:t>
        <a:bodyPr/>
        <a:lstStyle/>
        <a:p>
          <a:pPr algn="l"/>
          <a:endParaRPr lang="en-US">
            <a:latin typeface="Adobe Heiti Std R" panose="020B0400000000000000" pitchFamily="34" charset="-128"/>
            <a:ea typeface="Adobe Heiti Std R" panose="020B0400000000000000" pitchFamily="34" charset="-128"/>
          </a:endParaRPr>
        </a:p>
      </dgm:t>
    </dgm:pt>
    <dgm:pt modelId="{0A69BF16-70C8-45A5-B883-31054D8CAA07}" type="sibTrans" cxnId="{753D063D-6022-4575-B90C-7AAAC2DEC12F}">
      <dgm:prSet/>
      <dgm:spPr/>
      <dgm:t>
        <a:bodyPr/>
        <a:lstStyle/>
        <a:p>
          <a:pPr algn="l"/>
          <a:endParaRPr lang="en-US">
            <a:latin typeface="Adobe Heiti Std R" panose="020B0400000000000000" pitchFamily="34" charset="-128"/>
            <a:ea typeface="Adobe Heiti Std R" panose="020B0400000000000000" pitchFamily="34" charset="-128"/>
          </a:endParaRPr>
        </a:p>
      </dgm:t>
    </dgm:pt>
    <dgm:pt modelId="{7AE1B0EE-289C-4F20-A11D-0BD81B8E3E75}">
      <dgm:prSet phldrT="[Text]"/>
      <dgm:spPr>
        <a:xfrm>
          <a:off x="1563439" y="728721"/>
          <a:ext cx="1064121" cy="353835"/>
        </a:xfrm>
      </dgm:spPr>
      <dgm:t>
        <a:bodyPr/>
        <a:lstStyle/>
        <a:p>
          <a:pPr algn="l"/>
          <a:r>
            <a:rPr lang="en-US">
              <a:latin typeface="Adobe Heiti Std R" panose="020B0400000000000000" pitchFamily="34" charset="-128"/>
              <a:ea typeface="Adobe Heiti Std R" panose="020B0400000000000000" pitchFamily="34" charset="-128"/>
              <a:cs typeface="+mn-cs"/>
            </a:rPr>
            <a:t>Knowledge of Learner</a:t>
          </a:r>
        </a:p>
      </dgm:t>
    </dgm:pt>
    <dgm:pt modelId="{5ED4F564-DAFF-4652-B09D-D8549E6BB85C}" type="parTrans" cxnId="{4524598B-98D2-4F2D-B4D4-1CE50F15A406}">
      <dgm:prSet/>
      <dgm:spPr/>
      <dgm:t>
        <a:bodyPr/>
        <a:lstStyle/>
        <a:p>
          <a:endParaRPr lang="en-US">
            <a:latin typeface="Adobe Heiti Std R" panose="020B0400000000000000" pitchFamily="34" charset="-128"/>
            <a:ea typeface="Adobe Heiti Std R" panose="020B0400000000000000" pitchFamily="34" charset="-128"/>
          </a:endParaRPr>
        </a:p>
      </dgm:t>
    </dgm:pt>
    <dgm:pt modelId="{F4B6E540-A325-4525-B678-7A91ACB04B6F}" type="sibTrans" cxnId="{4524598B-98D2-4F2D-B4D4-1CE50F15A406}">
      <dgm:prSet/>
      <dgm:spPr/>
      <dgm:t>
        <a:bodyPr/>
        <a:lstStyle/>
        <a:p>
          <a:endParaRPr lang="en-US">
            <a:latin typeface="Adobe Heiti Std R" panose="020B0400000000000000" pitchFamily="34" charset="-128"/>
            <a:ea typeface="Adobe Heiti Std R" panose="020B0400000000000000" pitchFamily="34" charset="-128"/>
          </a:endParaRPr>
        </a:p>
      </dgm:t>
    </dgm:pt>
    <dgm:pt modelId="{FC1087DA-914D-4827-8DCC-5CBC7497CB04}">
      <dgm:prSet phldrT="[Text]"/>
      <dgm:spPr>
        <a:xfrm>
          <a:off x="1563439" y="1136993"/>
          <a:ext cx="1064121" cy="353835"/>
        </a:xfrm>
      </dgm:spPr>
      <dgm:t>
        <a:bodyPr/>
        <a:lstStyle/>
        <a:p>
          <a:pPr algn="l"/>
          <a:r>
            <a:rPr lang="en-US">
              <a:latin typeface="Adobe Heiti Std R" panose="020B0400000000000000" pitchFamily="34" charset="-128"/>
              <a:ea typeface="Adobe Heiti Std R" panose="020B0400000000000000" pitchFamily="34" charset="-128"/>
              <a:cs typeface="+mn-cs"/>
            </a:rPr>
            <a:t>Content Knowledge</a:t>
          </a:r>
        </a:p>
      </dgm:t>
    </dgm:pt>
    <dgm:pt modelId="{2224300E-046D-4EB1-BE9B-110D1E5A317E}" type="parTrans" cxnId="{3ED47647-8D78-4D08-81BF-5C9C78DDD2A0}">
      <dgm:prSet/>
      <dgm:spPr/>
      <dgm:t>
        <a:bodyPr/>
        <a:lstStyle/>
        <a:p>
          <a:endParaRPr lang="en-US">
            <a:latin typeface="Adobe Heiti Std R" panose="020B0400000000000000" pitchFamily="34" charset="-128"/>
            <a:ea typeface="Adobe Heiti Std R" panose="020B0400000000000000" pitchFamily="34" charset="-128"/>
          </a:endParaRPr>
        </a:p>
      </dgm:t>
    </dgm:pt>
    <dgm:pt modelId="{9B04E7B2-8C1E-49EA-AA5E-7F29420E4D43}" type="sibTrans" cxnId="{3ED47647-8D78-4D08-81BF-5C9C78DDD2A0}">
      <dgm:prSet/>
      <dgm:spPr/>
      <dgm:t>
        <a:bodyPr/>
        <a:lstStyle/>
        <a:p>
          <a:endParaRPr lang="en-US">
            <a:latin typeface="Adobe Heiti Std R" panose="020B0400000000000000" pitchFamily="34" charset="-128"/>
            <a:ea typeface="Adobe Heiti Std R" panose="020B0400000000000000" pitchFamily="34" charset="-128"/>
          </a:endParaRPr>
        </a:p>
      </dgm:t>
    </dgm:pt>
    <dgm:pt modelId="{9DD4BB3F-0BF0-450E-BB3D-697099377393}">
      <dgm:prSet phldrT="[Text]"/>
      <dgm:spPr>
        <a:xfrm>
          <a:off x="1563439" y="1545264"/>
          <a:ext cx="1064121" cy="353835"/>
        </a:xfrm>
      </dgm:spPr>
      <dgm:t>
        <a:bodyPr/>
        <a:lstStyle/>
        <a:p>
          <a:pPr algn="l"/>
          <a:r>
            <a:rPr lang="en-US">
              <a:latin typeface="Adobe Heiti Std R" panose="020B0400000000000000" pitchFamily="34" charset="-128"/>
              <a:ea typeface="Adobe Heiti Std R" panose="020B0400000000000000" pitchFamily="34" charset="-128"/>
              <a:cs typeface="+mn-cs"/>
            </a:rPr>
            <a:t>Instructional Practice</a:t>
          </a:r>
        </a:p>
      </dgm:t>
    </dgm:pt>
    <dgm:pt modelId="{6376021F-C873-424E-9AB6-1FAF50DE5F01}" type="parTrans" cxnId="{BBAC9780-401E-4CE7-A6DB-8C0C89A3CA06}">
      <dgm:prSet/>
      <dgm:spPr/>
      <dgm:t>
        <a:bodyPr/>
        <a:lstStyle/>
        <a:p>
          <a:endParaRPr lang="en-US">
            <a:latin typeface="Adobe Heiti Std R" panose="020B0400000000000000" pitchFamily="34" charset="-128"/>
            <a:ea typeface="Adobe Heiti Std R" panose="020B0400000000000000" pitchFamily="34" charset="-128"/>
          </a:endParaRPr>
        </a:p>
      </dgm:t>
    </dgm:pt>
    <dgm:pt modelId="{A523A37A-A26E-454F-85C8-D2384E8D0134}" type="sibTrans" cxnId="{BBAC9780-401E-4CE7-A6DB-8C0C89A3CA06}">
      <dgm:prSet/>
      <dgm:spPr/>
      <dgm:t>
        <a:bodyPr/>
        <a:lstStyle/>
        <a:p>
          <a:endParaRPr lang="en-US">
            <a:latin typeface="Adobe Heiti Std R" panose="020B0400000000000000" pitchFamily="34" charset="-128"/>
            <a:ea typeface="Adobe Heiti Std R" panose="020B0400000000000000" pitchFamily="34" charset="-128"/>
          </a:endParaRPr>
        </a:p>
      </dgm:t>
    </dgm:pt>
    <dgm:pt modelId="{74D171F2-4FC1-4EB5-AB8A-21FC6F6343FB}">
      <dgm:prSet phldrT="[Text]"/>
      <dgm:spPr>
        <a:xfrm>
          <a:off x="1563439" y="1953536"/>
          <a:ext cx="1064121" cy="353835"/>
        </a:xfrm>
      </dgm:spPr>
      <dgm:t>
        <a:bodyPr/>
        <a:lstStyle/>
        <a:p>
          <a:pPr algn="l"/>
          <a:r>
            <a:rPr lang="en-US">
              <a:latin typeface="Adobe Heiti Std R" panose="020B0400000000000000" pitchFamily="34" charset="-128"/>
              <a:ea typeface="Adobe Heiti Std R" panose="020B0400000000000000" pitchFamily="34" charset="-128"/>
              <a:cs typeface="+mn-cs"/>
            </a:rPr>
            <a:t>Professional Responsibility</a:t>
          </a:r>
        </a:p>
      </dgm:t>
    </dgm:pt>
    <dgm:pt modelId="{839E57EF-E233-40E7-8BF0-52A76289A9D8}" type="parTrans" cxnId="{65BF4E4A-A720-48A4-9F6E-88672E8044A0}">
      <dgm:prSet/>
      <dgm:spPr/>
      <dgm:t>
        <a:bodyPr/>
        <a:lstStyle/>
        <a:p>
          <a:endParaRPr lang="en-US">
            <a:latin typeface="Adobe Heiti Std R" panose="020B0400000000000000" pitchFamily="34" charset="-128"/>
            <a:ea typeface="Adobe Heiti Std R" panose="020B0400000000000000" pitchFamily="34" charset="-128"/>
          </a:endParaRPr>
        </a:p>
      </dgm:t>
    </dgm:pt>
    <dgm:pt modelId="{F1846864-E615-41BC-9EEB-FBE8A9C2B278}" type="sibTrans" cxnId="{65BF4E4A-A720-48A4-9F6E-88672E8044A0}">
      <dgm:prSet/>
      <dgm:spPr/>
      <dgm:t>
        <a:bodyPr/>
        <a:lstStyle/>
        <a:p>
          <a:endParaRPr lang="en-US">
            <a:latin typeface="Adobe Heiti Std R" panose="020B0400000000000000" pitchFamily="34" charset="-128"/>
            <a:ea typeface="Adobe Heiti Std R" panose="020B0400000000000000" pitchFamily="34" charset="-128"/>
          </a:endParaRPr>
        </a:p>
      </dgm:t>
    </dgm:pt>
    <dgm:pt modelId="{1BDF6997-145C-4199-817E-EF66EE9A19B5}">
      <dgm:prSet phldrT="[Text]"/>
      <dgm:spPr>
        <a:xfrm>
          <a:off x="511" y="0"/>
          <a:ext cx="1330151" cy="2428875"/>
        </a:xfrm>
      </dgm:spPr>
      <dgm:t>
        <a:bodyPr/>
        <a:lstStyle/>
        <a:p>
          <a:pPr algn="l"/>
          <a:r>
            <a:rPr lang="en-US">
              <a:latin typeface="Adobe Heiti Std R" panose="020B0400000000000000" pitchFamily="34" charset="-128"/>
              <a:ea typeface="Adobe Heiti Std R" panose="020B0400000000000000" pitchFamily="34" charset="-128"/>
              <a:cs typeface="+mn-cs"/>
            </a:rPr>
            <a:t>CAEP</a:t>
          </a:r>
        </a:p>
      </dgm:t>
    </dgm:pt>
    <dgm:pt modelId="{854BEECD-76FE-49FB-9402-D8F023B6A870}" type="sibTrans" cxnId="{FBC4B9A8-D5B4-4520-B30A-E0A98AD88A9D}">
      <dgm:prSet/>
      <dgm:spPr/>
      <dgm:t>
        <a:bodyPr/>
        <a:lstStyle/>
        <a:p>
          <a:pPr algn="l"/>
          <a:endParaRPr lang="en-US">
            <a:latin typeface="Adobe Heiti Std R" panose="020B0400000000000000" pitchFamily="34" charset="-128"/>
            <a:ea typeface="Adobe Heiti Std R" panose="020B0400000000000000" pitchFamily="34" charset="-128"/>
          </a:endParaRPr>
        </a:p>
      </dgm:t>
    </dgm:pt>
    <dgm:pt modelId="{90851B08-F537-4FFE-B306-60A04C00C24F}" type="parTrans" cxnId="{FBC4B9A8-D5B4-4520-B30A-E0A98AD88A9D}">
      <dgm:prSet/>
      <dgm:spPr/>
      <dgm:t>
        <a:bodyPr/>
        <a:lstStyle/>
        <a:p>
          <a:pPr algn="l"/>
          <a:endParaRPr lang="en-US">
            <a:latin typeface="Adobe Heiti Std R" panose="020B0400000000000000" pitchFamily="34" charset="-128"/>
            <a:ea typeface="Adobe Heiti Std R" panose="020B0400000000000000" pitchFamily="34" charset="-128"/>
          </a:endParaRPr>
        </a:p>
      </dgm:t>
    </dgm:pt>
    <dgm:pt modelId="{84D75134-89A9-498B-ACD2-2A7AB72101A8}" type="pres">
      <dgm:prSet presAssocID="{1AA70F03-8C91-4739-836F-9AB9BA9F1952}" presName="Name0" presStyleCnt="0">
        <dgm:presLayoutVars>
          <dgm:chMax val="7"/>
          <dgm:dir/>
          <dgm:animLvl val="lvl"/>
          <dgm:resizeHandles val="exact"/>
        </dgm:presLayoutVars>
      </dgm:prSet>
      <dgm:spPr/>
      <dgm:t>
        <a:bodyPr/>
        <a:lstStyle/>
        <a:p>
          <a:endParaRPr lang="en-US"/>
        </a:p>
      </dgm:t>
    </dgm:pt>
    <dgm:pt modelId="{3A8A2066-5873-4C85-8703-9D9AB2944985}" type="pres">
      <dgm:prSet presAssocID="{1BDF6997-145C-4199-817E-EF66EE9A19B5}" presName="circle1" presStyleLbl="node1" presStyleIdx="0" presStyleCnt="3"/>
      <dgm:spPr/>
      <dgm:t>
        <a:bodyPr/>
        <a:lstStyle/>
        <a:p>
          <a:endParaRPr lang="en-US"/>
        </a:p>
      </dgm:t>
    </dgm:pt>
    <dgm:pt modelId="{B0B384ED-0F5F-4BFE-903C-14B15330AC99}" type="pres">
      <dgm:prSet presAssocID="{1BDF6997-145C-4199-817E-EF66EE9A19B5}" presName="space" presStyleCnt="0"/>
      <dgm:spPr/>
      <dgm:t>
        <a:bodyPr/>
        <a:lstStyle/>
        <a:p>
          <a:endParaRPr lang="en-US"/>
        </a:p>
      </dgm:t>
    </dgm:pt>
    <dgm:pt modelId="{5FA555E6-8D33-425B-A78A-4A6E32A96C94}" type="pres">
      <dgm:prSet presAssocID="{1BDF6997-145C-4199-817E-EF66EE9A19B5}" presName="rect1" presStyleLbl="alignAcc1" presStyleIdx="0" presStyleCnt="3"/>
      <dgm:spPr/>
      <dgm:t>
        <a:bodyPr/>
        <a:lstStyle/>
        <a:p>
          <a:endParaRPr lang="en-US"/>
        </a:p>
      </dgm:t>
    </dgm:pt>
    <dgm:pt modelId="{F636342D-B416-4944-A05D-EBEDB15DB06A}" type="pres">
      <dgm:prSet presAssocID="{34F2C053-2595-4E09-BD50-878FA6FDC39D}" presName="vertSpace2" presStyleLbl="node1" presStyleIdx="0" presStyleCnt="3"/>
      <dgm:spPr/>
      <dgm:t>
        <a:bodyPr/>
        <a:lstStyle/>
        <a:p>
          <a:endParaRPr lang="en-US"/>
        </a:p>
      </dgm:t>
    </dgm:pt>
    <dgm:pt modelId="{E664A4CA-1333-4663-AF6D-09B3439E33F4}" type="pres">
      <dgm:prSet presAssocID="{34F2C053-2595-4E09-BD50-878FA6FDC39D}" presName="circle2" presStyleLbl="node1" presStyleIdx="1" presStyleCnt="3"/>
      <dgm:spPr/>
      <dgm:t>
        <a:bodyPr/>
        <a:lstStyle/>
        <a:p>
          <a:endParaRPr lang="en-US"/>
        </a:p>
      </dgm:t>
    </dgm:pt>
    <dgm:pt modelId="{AB550CF4-1FB4-4804-81B9-E07A6D16FFAF}" type="pres">
      <dgm:prSet presAssocID="{34F2C053-2595-4E09-BD50-878FA6FDC39D}" presName="rect2" presStyleLbl="alignAcc1" presStyleIdx="1" presStyleCnt="3"/>
      <dgm:spPr/>
      <dgm:t>
        <a:bodyPr/>
        <a:lstStyle/>
        <a:p>
          <a:endParaRPr lang="en-US"/>
        </a:p>
      </dgm:t>
    </dgm:pt>
    <dgm:pt modelId="{0AA521A6-E6CB-4D69-95CA-13685E47EF58}" type="pres">
      <dgm:prSet presAssocID="{97543058-1A78-40EE-B789-D0F9C9422FDC}" presName="vertSpace3" presStyleLbl="node1" presStyleIdx="1" presStyleCnt="3"/>
      <dgm:spPr/>
      <dgm:t>
        <a:bodyPr/>
        <a:lstStyle/>
        <a:p>
          <a:endParaRPr lang="en-US"/>
        </a:p>
      </dgm:t>
    </dgm:pt>
    <dgm:pt modelId="{78B17B67-2C52-4CAB-A907-FC77E1797217}" type="pres">
      <dgm:prSet presAssocID="{97543058-1A78-40EE-B789-D0F9C9422FDC}" presName="circle3" presStyleLbl="node1" presStyleIdx="2" presStyleCnt="3"/>
      <dgm:spPr/>
      <dgm:t>
        <a:bodyPr/>
        <a:lstStyle/>
        <a:p>
          <a:endParaRPr lang="en-US"/>
        </a:p>
      </dgm:t>
    </dgm:pt>
    <dgm:pt modelId="{8B6750B6-9294-46D0-8AC7-142B4CCA5FDB}" type="pres">
      <dgm:prSet presAssocID="{97543058-1A78-40EE-B789-D0F9C9422FDC}" presName="rect3" presStyleLbl="alignAcc1" presStyleIdx="2" presStyleCnt="3"/>
      <dgm:spPr/>
      <dgm:t>
        <a:bodyPr/>
        <a:lstStyle/>
        <a:p>
          <a:endParaRPr lang="en-US"/>
        </a:p>
      </dgm:t>
    </dgm:pt>
    <dgm:pt modelId="{EF51136B-10DF-43AE-B79C-2E5F83EF6CFF}" type="pres">
      <dgm:prSet presAssocID="{1BDF6997-145C-4199-817E-EF66EE9A19B5}" presName="rect1ParTx" presStyleLbl="alignAcc1" presStyleIdx="2" presStyleCnt="3">
        <dgm:presLayoutVars>
          <dgm:chMax val="1"/>
          <dgm:bulletEnabled val="1"/>
        </dgm:presLayoutVars>
      </dgm:prSet>
      <dgm:spPr/>
      <dgm:t>
        <a:bodyPr/>
        <a:lstStyle/>
        <a:p>
          <a:endParaRPr lang="en-US"/>
        </a:p>
      </dgm:t>
    </dgm:pt>
    <dgm:pt modelId="{7536C33B-772C-464C-A77A-144012219128}" type="pres">
      <dgm:prSet presAssocID="{1BDF6997-145C-4199-817E-EF66EE9A19B5}" presName="rect1ChTx" presStyleLbl="alignAcc1" presStyleIdx="2" presStyleCnt="3">
        <dgm:presLayoutVars>
          <dgm:bulletEnabled val="1"/>
        </dgm:presLayoutVars>
      </dgm:prSet>
      <dgm:spPr/>
      <dgm:t>
        <a:bodyPr/>
        <a:lstStyle/>
        <a:p>
          <a:endParaRPr lang="en-US"/>
        </a:p>
      </dgm:t>
    </dgm:pt>
    <dgm:pt modelId="{C84AB4E8-930B-4C02-A4EC-B791641C2DA4}" type="pres">
      <dgm:prSet presAssocID="{34F2C053-2595-4E09-BD50-878FA6FDC39D}" presName="rect2ParTx" presStyleLbl="alignAcc1" presStyleIdx="2" presStyleCnt="3">
        <dgm:presLayoutVars>
          <dgm:chMax val="1"/>
          <dgm:bulletEnabled val="1"/>
        </dgm:presLayoutVars>
      </dgm:prSet>
      <dgm:spPr/>
      <dgm:t>
        <a:bodyPr/>
        <a:lstStyle/>
        <a:p>
          <a:endParaRPr lang="en-US"/>
        </a:p>
      </dgm:t>
    </dgm:pt>
    <dgm:pt modelId="{0E857AE9-F8AD-474A-B98A-7E37E2D15F63}" type="pres">
      <dgm:prSet presAssocID="{34F2C053-2595-4E09-BD50-878FA6FDC39D}" presName="rect2ChTx" presStyleLbl="alignAcc1" presStyleIdx="2" presStyleCnt="3">
        <dgm:presLayoutVars>
          <dgm:bulletEnabled val="1"/>
        </dgm:presLayoutVars>
      </dgm:prSet>
      <dgm:spPr/>
      <dgm:t>
        <a:bodyPr/>
        <a:lstStyle/>
        <a:p>
          <a:endParaRPr lang="en-US"/>
        </a:p>
      </dgm:t>
    </dgm:pt>
    <dgm:pt modelId="{05F97BD5-658E-4F2C-B62C-E532B49D7726}" type="pres">
      <dgm:prSet presAssocID="{97543058-1A78-40EE-B789-D0F9C9422FDC}" presName="rect3ParTx" presStyleLbl="alignAcc1" presStyleIdx="2" presStyleCnt="3">
        <dgm:presLayoutVars>
          <dgm:chMax val="1"/>
          <dgm:bulletEnabled val="1"/>
        </dgm:presLayoutVars>
      </dgm:prSet>
      <dgm:spPr/>
      <dgm:t>
        <a:bodyPr/>
        <a:lstStyle/>
        <a:p>
          <a:endParaRPr lang="en-US"/>
        </a:p>
      </dgm:t>
    </dgm:pt>
    <dgm:pt modelId="{4E4BBB8B-B4E8-4467-9024-79485D680A44}" type="pres">
      <dgm:prSet presAssocID="{97543058-1A78-40EE-B789-D0F9C9422FDC}" presName="rect3ChTx" presStyleLbl="alignAcc1" presStyleIdx="2" presStyleCnt="3">
        <dgm:presLayoutVars>
          <dgm:bulletEnabled val="1"/>
        </dgm:presLayoutVars>
      </dgm:prSet>
      <dgm:spPr/>
      <dgm:t>
        <a:bodyPr/>
        <a:lstStyle/>
        <a:p>
          <a:endParaRPr lang="en-US"/>
        </a:p>
      </dgm:t>
    </dgm:pt>
  </dgm:ptLst>
  <dgm:cxnLst>
    <dgm:cxn modelId="{136358DF-3559-9F4D-9DC7-9F3F2E8C1C68}" type="presOf" srcId="{D5A78B32-A0AA-49E1-BAD9-28D1A0700B90}" destId="{4E4BBB8B-B4E8-4467-9024-79485D680A44}" srcOrd="0" destOrd="2" presId="urn:microsoft.com/office/officeart/2005/8/layout/target3"/>
    <dgm:cxn modelId="{AC3B7FBC-C51A-AA44-B662-7B6665EEF635}" type="presOf" srcId="{E30A8220-4D1F-44A5-90A6-DFAB7FCABC6D}" destId="{4E4BBB8B-B4E8-4467-9024-79485D680A44}" srcOrd="0" destOrd="3" presId="urn:microsoft.com/office/officeart/2005/8/layout/target3"/>
    <dgm:cxn modelId="{3ED47647-8D78-4D08-81BF-5C9C78DDD2A0}" srcId="{34F2C053-2595-4E09-BD50-878FA6FDC39D}" destId="{FC1087DA-914D-4827-8DCC-5CBC7497CB04}" srcOrd="1" destOrd="0" parTransId="{2224300E-046D-4EB1-BE9B-110D1E5A317E}" sibTransId="{9B04E7B2-8C1E-49EA-AA5E-7F29420E4D43}"/>
    <dgm:cxn modelId="{344E9EE1-9B43-C54E-A299-707C96ED4D68}" type="presOf" srcId="{F057BFF7-FCE3-4799-8ED8-91DB5A6F1260}" destId="{4E4BBB8B-B4E8-4467-9024-79485D680A44}" srcOrd="0" destOrd="1" presId="urn:microsoft.com/office/officeart/2005/8/layout/target3"/>
    <dgm:cxn modelId="{DCBDE203-C9D2-394A-B2D3-BAFE2E2DA873}" type="presOf" srcId="{7AE1B0EE-289C-4F20-A11D-0BD81B8E3E75}" destId="{0E857AE9-F8AD-474A-B98A-7E37E2D15F63}" srcOrd="0" destOrd="0" presId="urn:microsoft.com/office/officeart/2005/8/layout/target3"/>
    <dgm:cxn modelId="{116B6633-4E36-6944-91EF-E3FB45C66116}" type="presOf" srcId="{97543058-1A78-40EE-B789-D0F9C9422FDC}" destId="{05F97BD5-658E-4F2C-B62C-E532B49D7726}" srcOrd="1" destOrd="0" presId="urn:microsoft.com/office/officeart/2005/8/layout/target3"/>
    <dgm:cxn modelId="{B54D5596-FD3E-714F-A52F-94928EC4E45A}" type="presOf" srcId="{74D171F2-4FC1-4EB5-AB8A-21FC6F6343FB}" destId="{0E857AE9-F8AD-474A-B98A-7E37E2D15F63}" srcOrd="0" destOrd="3" presId="urn:microsoft.com/office/officeart/2005/8/layout/target3"/>
    <dgm:cxn modelId="{282A7109-38CF-41E9-91F9-F3C2ADB7D0A5}" srcId="{1BDF6997-145C-4199-817E-EF66EE9A19B5}" destId="{AA74AA23-CE43-4FCA-9B71-47A674B16F91}" srcOrd="2" destOrd="0" parTransId="{A115463D-98A4-4624-A95F-FC8EC55585E8}" sibTransId="{30CDE80C-D19F-42C4-BDAD-66DC275D7133}"/>
    <dgm:cxn modelId="{8B42F428-C9DE-484E-A472-96C0F97F033E}" srcId="{1BDF6997-145C-4199-817E-EF66EE9A19B5}" destId="{3BB119A3-9791-4D73-B799-B1F5DB2C5B7C}" srcOrd="4" destOrd="0" parTransId="{34185C63-09A5-4DAC-A085-DE7452C8BB6B}" sibTransId="{3A2FFEE2-376F-43B2-9089-260295C27DFD}"/>
    <dgm:cxn modelId="{D4250C40-DEFE-2E42-B858-7CC381BF598A}" type="presOf" srcId="{3BB119A3-9791-4D73-B799-B1F5DB2C5B7C}" destId="{7536C33B-772C-464C-A77A-144012219128}" srcOrd="0" destOrd="4" presId="urn:microsoft.com/office/officeart/2005/8/layout/target3"/>
    <dgm:cxn modelId="{753D063D-6022-4575-B90C-7AAAC2DEC12F}" srcId="{97543058-1A78-40EE-B789-D0F9C9422FDC}" destId="{E30A8220-4D1F-44A5-90A6-DFAB7FCABC6D}" srcOrd="3" destOrd="0" parTransId="{2674DBB7-F9AA-41CC-8F39-F809A73C42E6}" sibTransId="{0A69BF16-70C8-45A5-B883-31054D8CAA07}"/>
    <dgm:cxn modelId="{0527E002-72A3-49BB-B3DF-50FD52AE002B}" srcId="{97543058-1A78-40EE-B789-D0F9C9422FDC}" destId="{E319C82B-BD5A-48E5-9A52-336D5A83D9A1}" srcOrd="0" destOrd="0" parTransId="{633CCF63-C0EA-429E-BDCD-A4E0EE2B6D2F}" sibTransId="{AA66164B-8C7E-463F-BF55-9A0D03CE9F54}"/>
    <dgm:cxn modelId="{04287819-91C0-4F00-AABE-BF85F2248F06}" srcId="{97543058-1A78-40EE-B789-D0F9C9422FDC}" destId="{F057BFF7-FCE3-4799-8ED8-91DB5A6F1260}" srcOrd="1" destOrd="0" parTransId="{0FA3E821-0710-419C-95F2-57D20C96B596}" sibTransId="{BB8BF195-937A-44C4-BDF9-E3473172F462}"/>
    <dgm:cxn modelId="{3D5B0C6B-02EB-42F1-903B-D9971EA5271C}" srcId="{1BDF6997-145C-4199-817E-EF66EE9A19B5}" destId="{D9732A6E-701F-44AA-ABEF-BA37846B2995}" srcOrd="0" destOrd="0" parTransId="{0D9DDF9D-52B1-48A7-B5A8-7AE44034AA13}" sibTransId="{8E316090-6C7D-4BF5-ADF4-F6B2861D21D4}"/>
    <dgm:cxn modelId="{8C846E71-AFB8-4871-ABCF-7FF8F7E718A6}" srcId="{1BDF6997-145C-4199-817E-EF66EE9A19B5}" destId="{C300DBE8-F18D-4AD4-8F6C-72630140DBAA}" srcOrd="3" destOrd="0" parTransId="{0E55937C-E949-44B4-A30B-2C1095A0BA04}" sibTransId="{F3395996-7670-4BEE-B714-17245CAA10A4}"/>
    <dgm:cxn modelId="{C9516437-C2AE-E24D-820B-93F17F0B0009}" type="presOf" srcId="{FC1087DA-914D-4827-8DCC-5CBC7497CB04}" destId="{0E857AE9-F8AD-474A-B98A-7E37E2D15F63}" srcOrd="0" destOrd="1" presId="urn:microsoft.com/office/officeart/2005/8/layout/target3"/>
    <dgm:cxn modelId="{39DB4907-FA7A-2247-AEE7-F4ACF11D199C}" type="presOf" srcId="{34F2C053-2595-4E09-BD50-878FA6FDC39D}" destId="{C84AB4E8-930B-4C02-A4EC-B791641C2DA4}" srcOrd="1" destOrd="0" presId="urn:microsoft.com/office/officeart/2005/8/layout/target3"/>
    <dgm:cxn modelId="{61C533A0-E812-C344-B4B0-6ABFFFA8A029}" type="presOf" srcId="{E319C82B-BD5A-48E5-9A52-336D5A83D9A1}" destId="{4E4BBB8B-B4E8-4467-9024-79485D680A44}" srcOrd="0" destOrd="0" presId="urn:microsoft.com/office/officeart/2005/8/layout/target3"/>
    <dgm:cxn modelId="{92CF3BAA-20DE-524F-BD5C-C3719E9C5816}" type="presOf" srcId="{C300DBE8-F18D-4AD4-8F6C-72630140DBAA}" destId="{7536C33B-772C-464C-A77A-144012219128}" srcOrd="0" destOrd="3" presId="urn:microsoft.com/office/officeart/2005/8/layout/target3"/>
    <dgm:cxn modelId="{C00B325A-FB34-AA44-80DE-6861B1A9A766}" type="presOf" srcId="{97543058-1A78-40EE-B789-D0F9C9422FDC}" destId="{8B6750B6-9294-46D0-8AC7-142B4CCA5FDB}" srcOrd="0" destOrd="0" presId="urn:microsoft.com/office/officeart/2005/8/layout/target3"/>
    <dgm:cxn modelId="{50C12275-34DF-3D43-875B-B2797046A6EB}" type="presOf" srcId="{AA74AA23-CE43-4FCA-9B71-47A674B16F91}" destId="{7536C33B-772C-464C-A77A-144012219128}" srcOrd="0" destOrd="2" presId="urn:microsoft.com/office/officeart/2005/8/layout/target3"/>
    <dgm:cxn modelId="{F99B3EBA-AE5F-4920-B2AB-0AAF93C10BD3}" srcId="{97543058-1A78-40EE-B789-D0F9C9422FDC}" destId="{D5A78B32-A0AA-49E1-BAD9-28D1A0700B90}" srcOrd="2" destOrd="0" parTransId="{8A9E9906-C53A-4217-9195-5AB6B6A1C7F2}" sibTransId="{DD78B020-B560-4E6E-9565-0C470C7A1250}"/>
    <dgm:cxn modelId="{4524598B-98D2-4F2D-B4D4-1CE50F15A406}" srcId="{34F2C053-2595-4E09-BD50-878FA6FDC39D}" destId="{7AE1B0EE-289C-4F20-A11D-0BD81B8E3E75}" srcOrd="0" destOrd="0" parTransId="{5ED4F564-DAFF-4652-B09D-D8549E6BB85C}" sibTransId="{F4B6E540-A325-4525-B678-7A91ACB04B6F}"/>
    <dgm:cxn modelId="{CF584523-878E-E145-99C7-FCE0E07B0663}" type="presOf" srcId="{1BDF6997-145C-4199-817E-EF66EE9A19B5}" destId="{EF51136B-10DF-43AE-B79C-2E5F83EF6CFF}" srcOrd="1" destOrd="0" presId="urn:microsoft.com/office/officeart/2005/8/layout/target3"/>
    <dgm:cxn modelId="{F43C673F-4974-8649-945A-9E1F6931E418}" type="presOf" srcId="{D9732A6E-701F-44AA-ABEF-BA37846B2995}" destId="{7536C33B-772C-464C-A77A-144012219128}" srcOrd="0" destOrd="0" presId="urn:microsoft.com/office/officeart/2005/8/layout/target3"/>
    <dgm:cxn modelId="{25B86CB4-1D9A-4C04-924F-E5A3AD20841D}" srcId="{1BDF6997-145C-4199-817E-EF66EE9A19B5}" destId="{C28AFD7F-65E1-4046-A088-8160B3EEF961}" srcOrd="1" destOrd="0" parTransId="{752985E7-7B66-46A1-9C6A-48AC53ED6A56}" sibTransId="{570BAC07-6859-4230-A30C-A8EAB55800CB}"/>
    <dgm:cxn modelId="{4371290F-8356-D846-814C-FD5F001293C9}" type="presOf" srcId="{34F2C053-2595-4E09-BD50-878FA6FDC39D}" destId="{AB550CF4-1FB4-4804-81B9-E07A6D16FFAF}" srcOrd="0" destOrd="0" presId="urn:microsoft.com/office/officeart/2005/8/layout/target3"/>
    <dgm:cxn modelId="{65BF4E4A-A720-48A4-9F6E-88672E8044A0}" srcId="{34F2C053-2595-4E09-BD50-878FA6FDC39D}" destId="{74D171F2-4FC1-4EB5-AB8A-21FC6F6343FB}" srcOrd="3" destOrd="0" parTransId="{839E57EF-E233-40E7-8BF0-52A76289A9D8}" sibTransId="{F1846864-E615-41BC-9EEB-FBE8A9C2B278}"/>
    <dgm:cxn modelId="{C5BC0E54-5C48-324C-96D5-AB751FA2960B}" type="presOf" srcId="{1BDF6997-145C-4199-817E-EF66EE9A19B5}" destId="{5FA555E6-8D33-425B-A78A-4A6E32A96C94}" srcOrd="0" destOrd="0" presId="urn:microsoft.com/office/officeart/2005/8/layout/target3"/>
    <dgm:cxn modelId="{BBAC9780-401E-4CE7-A6DB-8C0C89A3CA06}" srcId="{34F2C053-2595-4E09-BD50-878FA6FDC39D}" destId="{9DD4BB3F-0BF0-450E-BB3D-697099377393}" srcOrd="2" destOrd="0" parTransId="{6376021F-C873-424E-9AB6-1FAF50DE5F01}" sibTransId="{A523A37A-A26E-454F-85C8-D2384E8D0134}"/>
    <dgm:cxn modelId="{FBC4B9A8-D5B4-4520-B30A-E0A98AD88A9D}" srcId="{1AA70F03-8C91-4739-836F-9AB9BA9F1952}" destId="{1BDF6997-145C-4199-817E-EF66EE9A19B5}" srcOrd="0" destOrd="0" parTransId="{90851B08-F537-4FFE-B306-60A04C00C24F}" sibTransId="{854BEECD-76FE-49FB-9402-D8F023B6A870}"/>
    <dgm:cxn modelId="{10800AB7-134D-4A74-8D98-7DF1890FB870}" srcId="{1AA70F03-8C91-4739-836F-9AB9BA9F1952}" destId="{34F2C053-2595-4E09-BD50-878FA6FDC39D}" srcOrd="1" destOrd="0" parTransId="{81DD2DCE-47B1-4ED4-9DAA-36803935E37F}" sibTransId="{B91D86C1-B210-4AA4-855B-8D9907846BFE}"/>
    <dgm:cxn modelId="{7455342A-4F91-044B-8215-0890B68A4875}" type="presOf" srcId="{1AA70F03-8C91-4739-836F-9AB9BA9F1952}" destId="{84D75134-89A9-498B-ACD2-2A7AB72101A8}" srcOrd="0" destOrd="0" presId="urn:microsoft.com/office/officeart/2005/8/layout/target3"/>
    <dgm:cxn modelId="{DC1ED9CE-5FDB-5143-A32F-8F88E8816909}" type="presOf" srcId="{9DD4BB3F-0BF0-450E-BB3D-697099377393}" destId="{0E857AE9-F8AD-474A-B98A-7E37E2D15F63}" srcOrd="0" destOrd="2" presId="urn:microsoft.com/office/officeart/2005/8/layout/target3"/>
    <dgm:cxn modelId="{E5B7CB73-7A09-B746-8ABC-F9D13F9D7A8D}" type="presOf" srcId="{C28AFD7F-65E1-4046-A088-8160B3EEF961}" destId="{7536C33B-772C-464C-A77A-144012219128}" srcOrd="0" destOrd="1" presId="urn:microsoft.com/office/officeart/2005/8/layout/target3"/>
    <dgm:cxn modelId="{9685A065-F481-4894-87F7-71FD29CAECC2}" srcId="{1AA70F03-8C91-4739-836F-9AB9BA9F1952}" destId="{97543058-1A78-40EE-B789-D0F9C9422FDC}" srcOrd="2" destOrd="0" parTransId="{A2DD6FDE-247A-482B-95CF-108EC2186A79}" sibTransId="{30218134-5EB0-4314-9700-4D40AA75F5D8}"/>
    <dgm:cxn modelId="{42390884-6FCD-C849-AD0E-BDBB85E2ADB2}" type="presParOf" srcId="{84D75134-89A9-498B-ACD2-2A7AB72101A8}" destId="{3A8A2066-5873-4C85-8703-9D9AB2944985}" srcOrd="0" destOrd="0" presId="urn:microsoft.com/office/officeart/2005/8/layout/target3"/>
    <dgm:cxn modelId="{EA6579A6-094D-BF46-A3FB-E495DFC82E6A}" type="presParOf" srcId="{84D75134-89A9-498B-ACD2-2A7AB72101A8}" destId="{B0B384ED-0F5F-4BFE-903C-14B15330AC99}" srcOrd="1" destOrd="0" presId="urn:microsoft.com/office/officeart/2005/8/layout/target3"/>
    <dgm:cxn modelId="{21CD69DA-9F6C-2F49-8FE0-6D267BD346AF}" type="presParOf" srcId="{84D75134-89A9-498B-ACD2-2A7AB72101A8}" destId="{5FA555E6-8D33-425B-A78A-4A6E32A96C94}" srcOrd="2" destOrd="0" presId="urn:microsoft.com/office/officeart/2005/8/layout/target3"/>
    <dgm:cxn modelId="{8DBB2D9E-71F3-A645-9507-462B8DE7074C}" type="presParOf" srcId="{84D75134-89A9-498B-ACD2-2A7AB72101A8}" destId="{F636342D-B416-4944-A05D-EBEDB15DB06A}" srcOrd="3" destOrd="0" presId="urn:microsoft.com/office/officeart/2005/8/layout/target3"/>
    <dgm:cxn modelId="{7BEA8074-E6E2-8C48-A109-10B2CF0C9AB1}" type="presParOf" srcId="{84D75134-89A9-498B-ACD2-2A7AB72101A8}" destId="{E664A4CA-1333-4663-AF6D-09B3439E33F4}" srcOrd="4" destOrd="0" presId="urn:microsoft.com/office/officeart/2005/8/layout/target3"/>
    <dgm:cxn modelId="{3FCBC3E0-ECA7-3145-9FD0-15E6D5C709A0}" type="presParOf" srcId="{84D75134-89A9-498B-ACD2-2A7AB72101A8}" destId="{AB550CF4-1FB4-4804-81B9-E07A6D16FFAF}" srcOrd="5" destOrd="0" presId="urn:microsoft.com/office/officeart/2005/8/layout/target3"/>
    <dgm:cxn modelId="{FFF21539-D0E4-3E44-95C8-E41C86A0BC7D}" type="presParOf" srcId="{84D75134-89A9-498B-ACD2-2A7AB72101A8}" destId="{0AA521A6-E6CB-4D69-95CA-13685E47EF58}" srcOrd="6" destOrd="0" presId="urn:microsoft.com/office/officeart/2005/8/layout/target3"/>
    <dgm:cxn modelId="{B5171813-274A-464B-85E5-C3747EF5CB3D}" type="presParOf" srcId="{84D75134-89A9-498B-ACD2-2A7AB72101A8}" destId="{78B17B67-2C52-4CAB-A907-FC77E1797217}" srcOrd="7" destOrd="0" presId="urn:microsoft.com/office/officeart/2005/8/layout/target3"/>
    <dgm:cxn modelId="{CA9E8BF1-0E1F-524F-B839-7E5343C632FD}" type="presParOf" srcId="{84D75134-89A9-498B-ACD2-2A7AB72101A8}" destId="{8B6750B6-9294-46D0-8AC7-142B4CCA5FDB}" srcOrd="8" destOrd="0" presId="urn:microsoft.com/office/officeart/2005/8/layout/target3"/>
    <dgm:cxn modelId="{5FC9A76C-ED84-9A45-9428-27C30DC55CD5}" type="presParOf" srcId="{84D75134-89A9-498B-ACD2-2A7AB72101A8}" destId="{EF51136B-10DF-43AE-B79C-2E5F83EF6CFF}" srcOrd="9" destOrd="0" presId="urn:microsoft.com/office/officeart/2005/8/layout/target3"/>
    <dgm:cxn modelId="{9B469DDA-81A0-354B-AD8F-6359D61600B9}" type="presParOf" srcId="{84D75134-89A9-498B-ACD2-2A7AB72101A8}" destId="{7536C33B-772C-464C-A77A-144012219128}" srcOrd="10" destOrd="0" presId="urn:microsoft.com/office/officeart/2005/8/layout/target3"/>
    <dgm:cxn modelId="{53A0A817-808D-3741-AFAA-A0101B6D8A0F}" type="presParOf" srcId="{84D75134-89A9-498B-ACD2-2A7AB72101A8}" destId="{C84AB4E8-930B-4C02-A4EC-B791641C2DA4}" srcOrd="11" destOrd="0" presId="urn:microsoft.com/office/officeart/2005/8/layout/target3"/>
    <dgm:cxn modelId="{15F19B35-81EB-DF42-B42A-2CCFF7CF7B21}" type="presParOf" srcId="{84D75134-89A9-498B-ACD2-2A7AB72101A8}" destId="{0E857AE9-F8AD-474A-B98A-7E37E2D15F63}" srcOrd="12" destOrd="0" presId="urn:microsoft.com/office/officeart/2005/8/layout/target3"/>
    <dgm:cxn modelId="{769F1BC7-E10D-DF48-9888-D59C4F332E52}" type="presParOf" srcId="{84D75134-89A9-498B-ACD2-2A7AB72101A8}" destId="{05F97BD5-658E-4F2C-B62C-E532B49D7726}" srcOrd="13" destOrd="0" presId="urn:microsoft.com/office/officeart/2005/8/layout/target3"/>
    <dgm:cxn modelId="{9EE2C54C-3C50-C64D-9ED3-EEC34AE5759D}" type="presParOf" srcId="{84D75134-89A9-498B-ACD2-2A7AB72101A8}" destId="{4E4BBB8B-B4E8-4467-9024-79485D680A44}" srcOrd="14" destOrd="0" presId="urn:microsoft.com/office/officeart/2005/8/layout/target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392623B-F896-422E-AE0F-C80D5FC56713}" type="doc">
      <dgm:prSet loTypeId="urn:microsoft.com/office/officeart/2005/8/layout/vList2" loCatId="list" qsTypeId="urn:microsoft.com/office/officeart/2005/8/quickstyle/simple1" qsCatId="simple" csTypeId="urn:microsoft.com/office/officeart/2005/8/colors/accent3_3" csCatId="accent3" phldr="1"/>
      <dgm:spPr/>
      <dgm:t>
        <a:bodyPr/>
        <a:lstStyle/>
        <a:p>
          <a:endParaRPr lang="en-US"/>
        </a:p>
      </dgm:t>
    </dgm:pt>
    <dgm:pt modelId="{D05A3DF8-447F-4DAC-8AD0-19618C61CD90}">
      <dgm:prSet phldrT="[Text]"/>
      <dgm:spPr/>
      <dgm:t>
        <a:bodyPr/>
        <a:lstStyle/>
        <a:p>
          <a:r>
            <a:rPr lang="en-US" dirty="0" smtClean="0"/>
            <a:t>Design to Improve All Student Learning in Schools.</a:t>
          </a:r>
          <a:endParaRPr lang="en-US" dirty="0"/>
        </a:p>
      </dgm:t>
    </dgm:pt>
    <dgm:pt modelId="{177DCB1B-CAEC-4479-A90C-00014277F030}" type="parTrans" cxnId="{8FA527C9-3A65-4130-9961-603DADC6A0B1}">
      <dgm:prSet/>
      <dgm:spPr/>
      <dgm:t>
        <a:bodyPr/>
        <a:lstStyle/>
        <a:p>
          <a:endParaRPr lang="en-US"/>
        </a:p>
      </dgm:t>
    </dgm:pt>
    <dgm:pt modelId="{26C3BAFB-1493-4ED6-8070-190E9B622CD6}" type="sibTrans" cxnId="{8FA527C9-3A65-4130-9961-603DADC6A0B1}">
      <dgm:prSet/>
      <dgm:spPr/>
      <dgm:t>
        <a:bodyPr/>
        <a:lstStyle/>
        <a:p>
          <a:endParaRPr lang="en-US"/>
        </a:p>
      </dgm:t>
    </dgm:pt>
    <dgm:pt modelId="{1E29ED90-1183-43FE-AB00-02BAD3DD3B94}">
      <dgm:prSet phldrT="[Text]"/>
      <dgm:spPr/>
      <dgm:t>
        <a:bodyPr/>
        <a:lstStyle/>
        <a:p>
          <a:r>
            <a:rPr lang="en-US" dirty="0" smtClean="0"/>
            <a:t>Invest in Professional Educators.</a:t>
          </a:r>
          <a:endParaRPr lang="en-US" dirty="0"/>
        </a:p>
      </dgm:t>
    </dgm:pt>
    <dgm:pt modelId="{414A4BED-B8FD-49CE-8901-DC5D0167D04B}" type="parTrans" cxnId="{8D866F36-DA6C-49C3-B3FD-5EA8D6CB3EB2}">
      <dgm:prSet/>
      <dgm:spPr/>
      <dgm:t>
        <a:bodyPr/>
        <a:lstStyle/>
        <a:p>
          <a:endParaRPr lang="en-US"/>
        </a:p>
      </dgm:t>
    </dgm:pt>
    <dgm:pt modelId="{34E57681-6B56-4B58-B4EC-E81EE5F32C36}" type="sibTrans" cxnId="{8D866F36-DA6C-49C3-B3FD-5EA8D6CB3EB2}">
      <dgm:prSet/>
      <dgm:spPr/>
      <dgm:t>
        <a:bodyPr/>
        <a:lstStyle/>
        <a:p>
          <a:endParaRPr lang="en-US"/>
        </a:p>
      </dgm:t>
    </dgm:pt>
    <dgm:pt modelId="{59859A6E-98A6-45E6-B4A6-77E7BF2EED1A}">
      <dgm:prSet phldrT="[Text]"/>
      <dgm:spPr/>
      <dgm:t>
        <a:bodyPr/>
        <a:lstStyle/>
        <a:p>
          <a:r>
            <a:rPr lang="en-US" dirty="0" smtClean="0"/>
            <a:t>Equip All  Practice Contexts.</a:t>
          </a:r>
          <a:endParaRPr lang="en-US" dirty="0"/>
        </a:p>
      </dgm:t>
    </dgm:pt>
    <dgm:pt modelId="{7303E5AB-AE0F-495B-8C99-660EE3E2245F}" type="parTrans" cxnId="{565AC53D-158A-472A-BC1F-75988BC9CCB9}">
      <dgm:prSet/>
      <dgm:spPr/>
      <dgm:t>
        <a:bodyPr/>
        <a:lstStyle/>
        <a:p>
          <a:endParaRPr lang="en-US"/>
        </a:p>
      </dgm:t>
    </dgm:pt>
    <dgm:pt modelId="{C4265C8C-3C68-4287-821A-C8E3C7C74918}" type="sibTrans" cxnId="{565AC53D-158A-472A-BC1F-75988BC9CCB9}">
      <dgm:prSet/>
      <dgm:spPr/>
      <dgm:t>
        <a:bodyPr/>
        <a:lstStyle/>
        <a:p>
          <a:endParaRPr lang="en-US"/>
        </a:p>
      </dgm:t>
    </dgm:pt>
    <dgm:pt modelId="{FAECBA21-2324-4B0C-8F75-3367D300340C}">
      <dgm:prSet phldrT="[Text]"/>
      <dgm:spPr/>
      <dgm:t>
        <a:bodyPr/>
        <a:lstStyle/>
        <a:p>
          <a:r>
            <a:rPr lang="en-US" dirty="0" smtClean="0"/>
            <a:t>Assess What is Taught.</a:t>
          </a:r>
          <a:endParaRPr lang="en-US" dirty="0"/>
        </a:p>
      </dgm:t>
    </dgm:pt>
    <dgm:pt modelId="{B670929A-10C3-4435-BB25-9D84C2E23F15}" type="parTrans" cxnId="{68368A09-A90B-48FC-87D3-AF8ADD6CA6BE}">
      <dgm:prSet/>
      <dgm:spPr/>
      <dgm:t>
        <a:bodyPr/>
        <a:lstStyle/>
        <a:p>
          <a:endParaRPr lang="en-US"/>
        </a:p>
      </dgm:t>
    </dgm:pt>
    <dgm:pt modelId="{DFC43CF3-C7CF-45EF-8816-154A6A77C5E0}" type="sibTrans" cxnId="{68368A09-A90B-48FC-87D3-AF8ADD6CA6BE}">
      <dgm:prSet/>
      <dgm:spPr/>
      <dgm:t>
        <a:bodyPr/>
        <a:lstStyle/>
        <a:p>
          <a:endParaRPr lang="en-US"/>
        </a:p>
      </dgm:t>
    </dgm:pt>
    <dgm:pt modelId="{CC828EAA-1219-40B1-AEE6-8008D3CF2087}">
      <dgm:prSet phldrT="[Text]"/>
      <dgm:spPr/>
      <dgm:t>
        <a:bodyPr/>
        <a:lstStyle/>
        <a:p>
          <a:r>
            <a:rPr lang="en-US" dirty="0" smtClean="0"/>
            <a:t>Invest in Big Data.</a:t>
          </a:r>
          <a:endParaRPr lang="en-US" dirty="0"/>
        </a:p>
      </dgm:t>
    </dgm:pt>
    <dgm:pt modelId="{79C686D9-F8FE-48BB-919A-2FDDFC59BECD}" type="parTrans" cxnId="{A79C40CA-24EB-4123-97CC-58EAC9EFA792}">
      <dgm:prSet/>
      <dgm:spPr/>
      <dgm:t>
        <a:bodyPr/>
        <a:lstStyle/>
        <a:p>
          <a:endParaRPr lang="en-US"/>
        </a:p>
      </dgm:t>
    </dgm:pt>
    <dgm:pt modelId="{23E99C65-B917-46E7-A836-F49CB759B3B1}" type="sibTrans" cxnId="{A79C40CA-24EB-4123-97CC-58EAC9EFA792}">
      <dgm:prSet/>
      <dgm:spPr/>
      <dgm:t>
        <a:bodyPr/>
        <a:lstStyle/>
        <a:p>
          <a:endParaRPr lang="en-US"/>
        </a:p>
      </dgm:t>
    </dgm:pt>
    <dgm:pt modelId="{253D44B3-27CD-4150-A741-19B7E1AF3189}">
      <dgm:prSet phldrT="[Text]"/>
      <dgm:spPr/>
      <dgm:t>
        <a:bodyPr/>
        <a:lstStyle/>
        <a:p>
          <a:r>
            <a:rPr lang="en-US" dirty="0" smtClean="0"/>
            <a:t>Reward Effective Teacher Preparation.</a:t>
          </a:r>
          <a:endParaRPr lang="en-US" dirty="0"/>
        </a:p>
      </dgm:t>
    </dgm:pt>
    <dgm:pt modelId="{339FC02D-19ED-41EB-A35C-2055AD9D623D}" type="parTrans" cxnId="{EBE145B3-3F85-43B5-A8A3-FA9A7DB62998}">
      <dgm:prSet/>
      <dgm:spPr/>
      <dgm:t>
        <a:bodyPr/>
        <a:lstStyle/>
        <a:p>
          <a:endParaRPr lang="en-US"/>
        </a:p>
      </dgm:t>
    </dgm:pt>
    <dgm:pt modelId="{C68738D1-B1CB-4AC4-988D-5F15882E2104}" type="sibTrans" cxnId="{EBE145B3-3F85-43B5-A8A3-FA9A7DB62998}">
      <dgm:prSet/>
      <dgm:spPr/>
      <dgm:t>
        <a:bodyPr/>
        <a:lstStyle/>
        <a:p>
          <a:endParaRPr lang="en-US"/>
        </a:p>
      </dgm:t>
    </dgm:pt>
    <dgm:pt modelId="{5344CBC4-7B47-4494-A57B-B2D97D56B216}">
      <dgm:prSet phldrT="[Text]"/>
      <dgm:spPr/>
      <dgm:t>
        <a:bodyPr/>
        <a:lstStyle/>
        <a:p>
          <a:r>
            <a:rPr lang="en-US" dirty="0" smtClean="0"/>
            <a:t>Educate with Diversity in Mind.</a:t>
          </a:r>
          <a:endParaRPr lang="en-US" dirty="0"/>
        </a:p>
      </dgm:t>
    </dgm:pt>
    <dgm:pt modelId="{49AC185D-19B3-4220-AF06-4E7DE6294D6B}" type="parTrans" cxnId="{E3B775EE-CF2F-4465-BAF3-707448A0F37D}">
      <dgm:prSet/>
      <dgm:spPr/>
      <dgm:t>
        <a:bodyPr/>
        <a:lstStyle/>
        <a:p>
          <a:endParaRPr lang="en-US"/>
        </a:p>
      </dgm:t>
    </dgm:pt>
    <dgm:pt modelId="{B4A86003-4258-4D50-9343-5B2501C490D1}" type="sibTrans" cxnId="{E3B775EE-CF2F-4465-BAF3-707448A0F37D}">
      <dgm:prSet/>
      <dgm:spPr/>
      <dgm:t>
        <a:bodyPr/>
        <a:lstStyle/>
        <a:p>
          <a:endParaRPr lang="en-US"/>
        </a:p>
      </dgm:t>
    </dgm:pt>
    <dgm:pt modelId="{7B0DD3E9-592E-4B96-A7D9-B6914A88B88B}">
      <dgm:prSet phldrT="[Text]"/>
      <dgm:spPr/>
      <dgm:t>
        <a:bodyPr/>
        <a:lstStyle/>
        <a:p>
          <a:r>
            <a:rPr lang="en-US" dirty="0" smtClean="0"/>
            <a:t>Design Schools with Multiple Tiers of Support.</a:t>
          </a:r>
          <a:endParaRPr lang="en-US" dirty="0"/>
        </a:p>
      </dgm:t>
    </dgm:pt>
    <dgm:pt modelId="{7FD9C475-7C04-4067-9FEC-EA8B515BDA1F}" type="parTrans" cxnId="{A6B6D948-8304-4DD1-BC39-EA7E49C70B0C}">
      <dgm:prSet/>
      <dgm:spPr/>
      <dgm:t>
        <a:bodyPr/>
        <a:lstStyle/>
        <a:p>
          <a:endParaRPr lang="en-US"/>
        </a:p>
      </dgm:t>
    </dgm:pt>
    <dgm:pt modelId="{199B3A45-82E1-440C-BE1E-E0CF1C851F3F}" type="sibTrans" cxnId="{A6B6D948-8304-4DD1-BC39-EA7E49C70B0C}">
      <dgm:prSet/>
      <dgm:spPr/>
      <dgm:t>
        <a:bodyPr/>
        <a:lstStyle/>
        <a:p>
          <a:endParaRPr lang="en-US"/>
        </a:p>
      </dgm:t>
    </dgm:pt>
    <dgm:pt modelId="{B8FE79AB-86AA-4994-9A9B-991FE04D5698}" type="pres">
      <dgm:prSet presAssocID="{8392623B-F896-422E-AE0F-C80D5FC56713}" presName="linear" presStyleCnt="0">
        <dgm:presLayoutVars>
          <dgm:animLvl val="lvl"/>
          <dgm:resizeHandles val="exact"/>
        </dgm:presLayoutVars>
      </dgm:prSet>
      <dgm:spPr/>
      <dgm:t>
        <a:bodyPr/>
        <a:lstStyle/>
        <a:p>
          <a:endParaRPr lang="en-US"/>
        </a:p>
      </dgm:t>
    </dgm:pt>
    <dgm:pt modelId="{C6E98F76-16FD-4337-A295-E32E9A16560D}" type="pres">
      <dgm:prSet presAssocID="{D05A3DF8-447F-4DAC-8AD0-19618C61CD90}" presName="parentText" presStyleLbl="node1" presStyleIdx="0" presStyleCnt="8">
        <dgm:presLayoutVars>
          <dgm:chMax val="0"/>
          <dgm:bulletEnabled val="1"/>
        </dgm:presLayoutVars>
      </dgm:prSet>
      <dgm:spPr/>
      <dgm:t>
        <a:bodyPr/>
        <a:lstStyle/>
        <a:p>
          <a:endParaRPr lang="en-US"/>
        </a:p>
      </dgm:t>
    </dgm:pt>
    <dgm:pt modelId="{D37B75EC-C0CD-4D4F-8B97-E6C18956F944}" type="pres">
      <dgm:prSet presAssocID="{26C3BAFB-1493-4ED6-8070-190E9B622CD6}" presName="spacer" presStyleCnt="0"/>
      <dgm:spPr/>
      <dgm:t>
        <a:bodyPr/>
        <a:lstStyle/>
        <a:p>
          <a:endParaRPr lang="en-US"/>
        </a:p>
      </dgm:t>
    </dgm:pt>
    <dgm:pt modelId="{6D7F9F66-C54B-4FBF-A1B5-0BEC7F21D703}" type="pres">
      <dgm:prSet presAssocID="{1E29ED90-1183-43FE-AB00-02BAD3DD3B94}" presName="parentText" presStyleLbl="node1" presStyleIdx="1" presStyleCnt="8">
        <dgm:presLayoutVars>
          <dgm:chMax val="0"/>
          <dgm:bulletEnabled val="1"/>
        </dgm:presLayoutVars>
      </dgm:prSet>
      <dgm:spPr/>
      <dgm:t>
        <a:bodyPr/>
        <a:lstStyle/>
        <a:p>
          <a:endParaRPr lang="en-US"/>
        </a:p>
      </dgm:t>
    </dgm:pt>
    <dgm:pt modelId="{162D0A85-81CB-4FD4-86D2-7191857D19B3}" type="pres">
      <dgm:prSet presAssocID="{34E57681-6B56-4B58-B4EC-E81EE5F32C36}" presName="spacer" presStyleCnt="0"/>
      <dgm:spPr/>
      <dgm:t>
        <a:bodyPr/>
        <a:lstStyle/>
        <a:p>
          <a:endParaRPr lang="en-US"/>
        </a:p>
      </dgm:t>
    </dgm:pt>
    <dgm:pt modelId="{3A468975-5490-4F02-8F8B-D85F7B62111C}" type="pres">
      <dgm:prSet presAssocID="{59859A6E-98A6-45E6-B4A6-77E7BF2EED1A}" presName="parentText" presStyleLbl="node1" presStyleIdx="2" presStyleCnt="8">
        <dgm:presLayoutVars>
          <dgm:chMax val="0"/>
          <dgm:bulletEnabled val="1"/>
        </dgm:presLayoutVars>
      </dgm:prSet>
      <dgm:spPr/>
      <dgm:t>
        <a:bodyPr/>
        <a:lstStyle/>
        <a:p>
          <a:endParaRPr lang="en-US"/>
        </a:p>
      </dgm:t>
    </dgm:pt>
    <dgm:pt modelId="{D55F131E-DC9F-4FB1-B07D-FE78002D972F}" type="pres">
      <dgm:prSet presAssocID="{C4265C8C-3C68-4287-821A-C8E3C7C74918}" presName="spacer" presStyleCnt="0"/>
      <dgm:spPr/>
      <dgm:t>
        <a:bodyPr/>
        <a:lstStyle/>
        <a:p>
          <a:endParaRPr lang="en-US"/>
        </a:p>
      </dgm:t>
    </dgm:pt>
    <dgm:pt modelId="{AD38B981-3DCD-4B91-8393-9FA70CCEEFBA}" type="pres">
      <dgm:prSet presAssocID="{7B0DD3E9-592E-4B96-A7D9-B6914A88B88B}" presName="parentText" presStyleLbl="node1" presStyleIdx="3" presStyleCnt="8">
        <dgm:presLayoutVars>
          <dgm:chMax val="0"/>
          <dgm:bulletEnabled val="1"/>
        </dgm:presLayoutVars>
      </dgm:prSet>
      <dgm:spPr/>
      <dgm:t>
        <a:bodyPr/>
        <a:lstStyle/>
        <a:p>
          <a:endParaRPr lang="en-US"/>
        </a:p>
      </dgm:t>
    </dgm:pt>
    <dgm:pt modelId="{8A46A40B-2F6E-4DAD-9227-A0AFA83B2615}" type="pres">
      <dgm:prSet presAssocID="{199B3A45-82E1-440C-BE1E-E0CF1C851F3F}" presName="spacer" presStyleCnt="0"/>
      <dgm:spPr/>
      <dgm:t>
        <a:bodyPr/>
        <a:lstStyle/>
        <a:p>
          <a:endParaRPr lang="en-US"/>
        </a:p>
      </dgm:t>
    </dgm:pt>
    <dgm:pt modelId="{98847A6F-AA41-4C35-A68D-177C2413B519}" type="pres">
      <dgm:prSet presAssocID="{FAECBA21-2324-4B0C-8F75-3367D300340C}" presName="parentText" presStyleLbl="node1" presStyleIdx="4" presStyleCnt="8">
        <dgm:presLayoutVars>
          <dgm:chMax val="0"/>
          <dgm:bulletEnabled val="1"/>
        </dgm:presLayoutVars>
      </dgm:prSet>
      <dgm:spPr/>
      <dgm:t>
        <a:bodyPr/>
        <a:lstStyle/>
        <a:p>
          <a:endParaRPr lang="en-US"/>
        </a:p>
      </dgm:t>
    </dgm:pt>
    <dgm:pt modelId="{3ECB529D-6034-4FF9-A83B-C52419E08D3F}" type="pres">
      <dgm:prSet presAssocID="{DFC43CF3-C7CF-45EF-8816-154A6A77C5E0}" presName="spacer" presStyleCnt="0"/>
      <dgm:spPr/>
      <dgm:t>
        <a:bodyPr/>
        <a:lstStyle/>
        <a:p>
          <a:endParaRPr lang="en-US"/>
        </a:p>
      </dgm:t>
    </dgm:pt>
    <dgm:pt modelId="{37E5A79B-66AE-4C32-BFD9-DBFAE8A846B2}" type="pres">
      <dgm:prSet presAssocID="{CC828EAA-1219-40B1-AEE6-8008D3CF2087}" presName="parentText" presStyleLbl="node1" presStyleIdx="5" presStyleCnt="8">
        <dgm:presLayoutVars>
          <dgm:chMax val="0"/>
          <dgm:bulletEnabled val="1"/>
        </dgm:presLayoutVars>
      </dgm:prSet>
      <dgm:spPr/>
      <dgm:t>
        <a:bodyPr/>
        <a:lstStyle/>
        <a:p>
          <a:endParaRPr lang="en-US"/>
        </a:p>
      </dgm:t>
    </dgm:pt>
    <dgm:pt modelId="{FE1802E7-A525-46CA-9078-ADF96D77E7A5}" type="pres">
      <dgm:prSet presAssocID="{23E99C65-B917-46E7-A836-F49CB759B3B1}" presName="spacer" presStyleCnt="0"/>
      <dgm:spPr/>
      <dgm:t>
        <a:bodyPr/>
        <a:lstStyle/>
        <a:p>
          <a:endParaRPr lang="en-US"/>
        </a:p>
      </dgm:t>
    </dgm:pt>
    <dgm:pt modelId="{A2068321-8101-472F-96D5-5C6329EF476E}" type="pres">
      <dgm:prSet presAssocID="{253D44B3-27CD-4150-A741-19B7E1AF3189}" presName="parentText" presStyleLbl="node1" presStyleIdx="6" presStyleCnt="8">
        <dgm:presLayoutVars>
          <dgm:chMax val="0"/>
          <dgm:bulletEnabled val="1"/>
        </dgm:presLayoutVars>
      </dgm:prSet>
      <dgm:spPr/>
      <dgm:t>
        <a:bodyPr/>
        <a:lstStyle/>
        <a:p>
          <a:endParaRPr lang="en-US"/>
        </a:p>
      </dgm:t>
    </dgm:pt>
    <dgm:pt modelId="{F866FC5A-8A54-46CF-84CB-53DF92B61E4B}" type="pres">
      <dgm:prSet presAssocID="{C68738D1-B1CB-4AC4-988D-5F15882E2104}" presName="spacer" presStyleCnt="0"/>
      <dgm:spPr/>
      <dgm:t>
        <a:bodyPr/>
        <a:lstStyle/>
        <a:p>
          <a:endParaRPr lang="en-US"/>
        </a:p>
      </dgm:t>
    </dgm:pt>
    <dgm:pt modelId="{62F1BE08-7B58-43D8-8723-BF725B836C58}" type="pres">
      <dgm:prSet presAssocID="{5344CBC4-7B47-4494-A57B-B2D97D56B216}" presName="parentText" presStyleLbl="node1" presStyleIdx="7" presStyleCnt="8">
        <dgm:presLayoutVars>
          <dgm:chMax val="0"/>
          <dgm:bulletEnabled val="1"/>
        </dgm:presLayoutVars>
      </dgm:prSet>
      <dgm:spPr/>
      <dgm:t>
        <a:bodyPr/>
        <a:lstStyle/>
        <a:p>
          <a:endParaRPr lang="en-US"/>
        </a:p>
      </dgm:t>
    </dgm:pt>
  </dgm:ptLst>
  <dgm:cxnLst>
    <dgm:cxn modelId="{2FFABEBC-2974-40C1-BE65-E9F0359743D2}" type="presOf" srcId="{D05A3DF8-447F-4DAC-8AD0-19618C61CD90}" destId="{C6E98F76-16FD-4337-A295-E32E9A16560D}" srcOrd="0" destOrd="0" presId="urn:microsoft.com/office/officeart/2005/8/layout/vList2"/>
    <dgm:cxn modelId="{4B59CBB4-FEA8-4BC2-B71B-7607243023BF}" type="presOf" srcId="{FAECBA21-2324-4B0C-8F75-3367D300340C}" destId="{98847A6F-AA41-4C35-A68D-177C2413B519}" srcOrd="0" destOrd="0" presId="urn:microsoft.com/office/officeart/2005/8/layout/vList2"/>
    <dgm:cxn modelId="{EBE145B3-3F85-43B5-A8A3-FA9A7DB62998}" srcId="{8392623B-F896-422E-AE0F-C80D5FC56713}" destId="{253D44B3-27CD-4150-A741-19B7E1AF3189}" srcOrd="6" destOrd="0" parTransId="{339FC02D-19ED-41EB-A35C-2055AD9D623D}" sibTransId="{C68738D1-B1CB-4AC4-988D-5F15882E2104}"/>
    <dgm:cxn modelId="{A79C40CA-24EB-4123-97CC-58EAC9EFA792}" srcId="{8392623B-F896-422E-AE0F-C80D5FC56713}" destId="{CC828EAA-1219-40B1-AEE6-8008D3CF2087}" srcOrd="5" destOrd="0" parTransId="{79C686D9-F8FE-48BB-919A-2FDDFC59BECD}" sibTransId="{23E99C65-B917-46E7-A836-F49CB759B3B1}"/>
    <dgm:cxn modelId="{8D866F36-DA6C-49C3-B3FD-5EA8D6CB3EB2}" srcId="{8392623B-F896-422E-AE0F-C80D5FC56713}" destId="{1E29ED90-1183-43FE-AB00-02BAD3DD3B94}" srcOrd="1" destOrd="0" parTransId="{414A4BED-B8FD-49CE-8901-DC5D0167D04B}" sibTransId="{34E57681-6B56-4B58-B4EC-E81EE5F32C36}"/>
    <dgm:cxn modelId="{484FE1AA-40D2-4E41-B802-11FDE629981B}" type="presOf" srcId="{59859A6E-98A6-45E6-B4A6-77E7BF2EED1A}" destId="{3A468975-5490-4F02-8F8B-D85F7B62111C}" srcOrd="0" destOrd="0" presId="urn:microsoft.com/office/officeart/2005/8/layout/vList2"/>
    <dgm:cxn modelId="{68368A09-A90B-48FC-87D3-AF8ADD6CA6BE}" srcId="{8392623B-F896-422E-AE0F-C80D5FC56713}" destId="{FAECBA21-2324-4B0C-8F75-3367D300340C}" srcOrd="4" destOrd="0" parTransId="{B670929A-10C3-4435-BB25-9D84C2E23F15}" sibTransId="{DFC43CF3-C7CF-45EF-8816-154A6A77C5E0}"/>
    <dgm:cxn modelId="{A5EC466C-EDA1-41CC-826A-4C24C9DB5EBD}" type="presOf" srcId="{8392623B-F896-422E-AE0F-C80D5FC56713}" destId="{B8FE79AB-86AA-4994-9A9B-991FE04D5698}" srcOrd="0" destOrd="0" presId="urn:microsoft.com/office/officeart/2005/8/layout/vList2"/>
    <dgm:cxn modelId="{930201CD-6EA6-4473-BC1A-2C3E30D676D9}" type="presOf" srcId="{1E29ED90-1183-43FE-AB00-02BAD3DD3B94}" destId="{6D7F9F66-C54B-4FBF-A1B5-0BEC7F21D703}" srcOrd="0" destOrd="0" presId="urn:microsoft.com/office/officeart/2005/8/layout/vList2"/>
    <dgm:cxn modelId="{193110E8-F618-4271-9D26-14411CA273D1}" type="presOf" srcId="{CC828EAA-1219-40B1-AEE6-8008D3CF2087}" destId="{37E5A79B-66AE-4C32-BFD9-DBFAE8A846B2}" srcOrd="0" destOrd="0" presId="urn:microsoft.com/office/officeart/2005/8/layout/vList2"/>
    <dgm:cxn modelId="{8FA527C9-3A65-4130-9961-603DADC6A0B1}" srcId="{8392623B-F896-422E-AE0F-C80D5FC56713}" destId="{D05A3DF8-447F-4DAC-8AD0-19618C61CD90}" srcOrd="0" destOrd="0" parTransId="{177DCB1B-CAEC-4479-A90C-00014277F030}" sibTransId="{26C3BAFB-1493-4ED6-8070-190E9B622CD6}"/>
    <dgm:cxn modelId="{53FACAB4-0210-4908-902F-BD66BBCAC634}" type="presOf" srcId="{5344CBC4-7B47-4494-A57B-B2D97D56B216}" destId="{62F1BE08-7B58-43D8-8723-BF725B836C58}" srcOrd="0" destOrd="0" presId="urn:microsoft.com/office/officeart/2005/8/layout/vList2"/>
    <dgm:cxn modelId="{565AC53D-158A-472A-BC1F-75988BC9CCB9}" srcId="{8392623B-F896-422E-AE0F-C80D5FC56713}" destId="{59859A6E-98A6-45E6-B4A6-77E7BF2EED1A}" srcOrd="2" destOrd="0" parTransId="{7303E5AB-AE0F-495B-8C99-660EE3E2245F}" sibTransId="{C4265C8C-3C68-4287-821A-C8E3C7C74918}"/>
    <dgm:cxn modelId="{F02D64F7-3169-41DA-8DBC-56EB1CB95B89}" type="presOf" srcId="{7B0DD3E9-592E-4B96-A7D9-B6914A88B88B}" destId="{AD38B981-3DCD-4B91-8393-9FA70CCEEFBA}" srcOrd="0" destOrd="0" presId="urn:microsoft.com/office/officeart/2005/8/layout/vList2"/>
    <dgm:cxn modelId="{A6B6D948-8304-4DD1-BC39-EA7E49C70B0C}" srcId="{8392623B-F896-422E-AE0F-C80D5FC56713}" destId="{7B0DD3E9-592E-4B96-A7D9-B6914A88B88B}" srcOrd="3" destOrd="0" parTransId="{7FD9C475-7C04-4067-9FEC-EA8B515BDA1F}" sibTransId="{199B3A45-82E1-440C-BE1E-E0CF1C851F3F}"/>
    <dgm:cxn modelId="{F5D02017-A048-4176-8F05-74E8ADB7E8ED}" type="presOf" srcId="{253D44B3-27CD-4150-A741-19B7E1AF3189}" destId="{A2068321-8101-472F-96D5-5C6329EF476E}" srcOrd="0" destOrd="0" presId="urn:microsoft.com/office/officeart/2005/8/layout/vList2"/>
    <dgm:cxn modelId="{E3B775EE-CF2F-4465-BAF3-707448A0F37D}" srcId="{8392623B-F896-422E-AE0F-C80D5FC56713}" destId="{5344CBC4-7B47-4494-A57B-B2D97D56B216}" srcOrd="7" destOrd="0" parTransId="{49AC185D-19B3-4220-AF06-4E7DE6294D6B}" sibTransId="{B4A86003-4258-4D50-9343-5B2501C490D1}"/>
    <dgm:cxn modelId="{A47A63FA-C275-4B39-A2C7-039A3EE8ABF9}" type="presParOf" srcId="{B8FE79AB-86AA-4994-9A9B-991FE04D5698}" destId="{C6E98F76-16FD-4337-A295-E32E9A16560D}" srcOrd="0" destOrd="0" presId="urn:microsoft.com/office/officeart/2005/8/layout/vList2"/>
    <dgm:cxn modelId="{40851335-06AD-4E0C-9DCE-D8443A99D13C}" type="presParOf" srcId="{B8FE79AB-86AA-4994-9A9B-991FE04D5698}" destId="{D37B75EC-C0CD-4D4F-8B97-E6C18956F944}" srcOrd="1" destOrd="0" presId="urn:microsoft.com/office/officeart/2005/8/layout/vList2"/>
    <dgm:cxn modelId="{C4984FEC-9B8F-471A-B36E-B7B693899DBC}" type="presParOf" srcId="{B8FE79AB-86AA-4994-9A9B-991FE04D5698}" destId="{6D7F9F66-C54B-4FBF-A1B5-0BEC7F21D703}" srcOrd="2" destOrd="0" presId="urn:microsoft.com/office/officeart/2005/8/layout/vList2"/>
    <dgm:cxn modelId="{B9CD9537-DA8B-4E5C-BCA8-AE2136D806DA}" type="presParOf" srcId="{B8FE79AB-86AA-4994-9A9B-991FE04D5698}" destId="{162D0A85-81CB-4FD4-86D2-7191857D19B3}" srcOrd="3" destOrd="0" presId="urn:microsoft.com/office/officeart/2005/8/layout/vList2"/>
    <dgm:cxn modelId="{DD6BFF16-05DC-4CFC-AC0D-F832034EEFDD}" type="presParOf" srcId="{B8FE79AB-86AA-4994-9A9B-991FE04D5698}" destId="{3A468975-5490-4F02-8F8B-D85F7B62111C}" srcOrd="4" destOrd="0" presId="urn:microsoft.com/office/officeart/2005/8/layout/vList2"/>
    <dgm:cxn modelId="{064202D5-3E48-4401-9E20-8D823222C70A}" type="presParOf" srcId="{B8FE79AB-86AA-4994-9A9B-991FE04D5698}" destId="{D55F131E-DC9F-4FB1-B07D-FE78002D972F}" srcOrd="5" destOrd="0" presId="urn:microsoft.com/office/officeart/2005/8/layout/vList2"/>
    <dgm:cxn modelId="{CAD648D8-4ABB-42AA-94EA-054E9CD6E9F6}" type="presParOf" srcId="{B8FE79AB-86AA-4994-9A9B-991FE04D5698}" destId="{AD38B981-3DCD-4B91-8393-9FA70CCEEFBA}" srcOrd="6" destOrd="0" presId="urn:microsoft.com/office/officeart/2005/8/layout/vList2"/>
    <dgm:cxn modelId="{18625F38-E7BC-4A8B-BCDD-F12CE4A74784}" type="presParOf" srcId="{B8FE79AB-86AA-4994-9A9B-991FE04D5698}" destId="{8A46A40B-2F6E-4DAD-9227-A0AFA83B2615}" srcOrd="7" destOrd="0" presId="urn:microsoft.com/office/officeart/2005/8/layout/vList2"/>
    <dgm:cxn modelId="{E7302B5A-A603-40A1-B7ED-BAF5482F432A}" type="presParOf" srcId="{B8FE79AB-86AA-4994-9A9B-991FE04D5698}" destId="{98847A6F-AA41-4C35-A68D-177C2413B519}" srcOrd="8" destOrd="0" presId="urn:microsoft.com/office/officeart/2005/8/layout/vList2"/>
    <dgm:cxn modelId="{1BC903E4-848E-4EEA-8793-2E7E2A971A9C}" type="presParOf" srcId="{B8FE79AB-86AA-4994-9A9B-991FE04D5698}" destId="{3ECB529D-6034-4FF9-A83B-C52419E08D3F}" srcOrd="9" destOrd="0" presId="urn:microsoft.com/office/officeart/2005/8/layout/vList2"/>
    <dgm:cxn modelId="{5AF3B9E4-1160-4ECE-8514-4CDE98CC68CD}" type="presParOf" srcId="{B8FE79AB-86AA-4994-9A9B-991FE04D5698}" destId="{37E5A79B-66AE-4C32-BFD9-DBFAE8A846B2}" srcOrd="10" destOrd="0" presId="urn:microsoft.com/office/officeart/2005/8/layout/vList2"/>
    <dgm:cxn modelId="{D3640E78-749E-4C59-B663-E6D22EDFFFA1}" type="presParOf" srcId="{B8FE79AB-86AA-4994-9A9B-991FE04D5698}" destId="{FE1802E7-A525-46CA-9078-ADF96D77E7A5}" srcOrd="11" destOrd="0" presId="urn:microsoft.com/office/officeart/2005/8/layout/vList2"/>
    <dgm:cxn modelId="{A912169D-8550-4DAE-B136-C606823F8822}" type="presParOf" srcId="{B8FE79AB-86AA-4994-9A9B-991FE04D5698}" destId="{A2068321-8101-472F-96D5-5C6329EF476E}" srcOrd="12" destOrd="0" presId="urn:microsoft.com/office/officeart/2005/8/layout/vList2"/>
    <dgm:cxn modelId="{3C58658C-824A-46B0-B6CD-58C1946E7175}" type="presParOf" srcId="{B8FE79AB-86AA-4994-9A9B-991FE04D5698}" destId="{F866FC5A-8A54-46CF-84CB-53DF92B61E4B}" srcOrd="13" destOrd="0" presId="urn:microsoft.com/office/officeart/2005/8/layout/vList2"/>
    <dgm:cxn modelId="{B3AAF98D-B6ED-4ABF-8446-3BC9C6DC6152}" type="presParOf" srcId="{B8FE79AB-86AA-4994-9A9B-991FE04D5698}" destId="{62F1BE08-7B58-43D8-8723-BF725B836C58}" srcOrd="14" destOrd="0" presId="urn:microsoft.com/office/officeart/2005/8/layout/vList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7853786C-B71E-485F-A640-706DEBB990EF}" type="doc">
      <dgm:prSet loTypeId="urn:microsoft.com/office/officeart/2005/8/layout/target2" loCatId="relationship" qsTypeId="urn:microsoft.com/office/officeart/2005/8/quickstyle/simple1" qsCatId="simple" csTypeId="urn:microsoft.com/office/officeart/2005/8/colors/accent0_1" csCatId="mainScheme" phldr="1"/>
      <dgm:spPr/>
      <dgm:t>
        <a:bodyPr/>
        <a:lstStyle/>
        <a:p>
          <a:endParaRPr lang="en-US"/>
        </a:p>
      </dgm:t>
    </dgm:pt>
    <dgm:pt modelId="{1DFF909C-1561-469D-A680-ABA706C0781A}">
      <dgm:prSet phldrT="[Text]"/>
      <dgm:spPr/>
      <dgm:t>
        <a:bodyPr/>
        <a:lstStyle/>
        <a:p>
          <a:r>
            <a:rPr lang="en-US"/>
            <a:t>Personnel</a:t>
          </a:r>
        </a:p>
      </dgm:t>
    </dgm:pt>
    <dgm:pt modelId="{92091F3F-A2D8-4CBE-9280-0F82F40E29B7}" type="parTrans" cxnId="{7790EC04-3B26-4799-99D3-A49F413FB1E2}">
      <dgm:prSet/>
      <dgm:spPr/>
      <dgm:t>
        <a:bodyPr/>
        <a:lstStyle/>
        <a:p>
          <a:endParaRPr lang="en-US"/>
        </a:p>
      </dgm:t>
    </dgm:pt>
    <dgm:pt modelId="{5EB6A09A-6261-4659-8713-AB21B7EC9BEF}" type="sibTrans" cxnId="{7790EC04-3B26-4799-99D3-A49F413FB1E2}">
      <dgm:prSet/>
      <dgm:spPr/>
      <dgm:t>
        <a:bodyPr/>
        <a:lstStyle/>
        <a:p>
          <a:endParaRPr lang="en-US"/>
        </a:p>
      </dgm:t>
    </dgm:pt>
    <dgm:pt modelId="{BFCCDBD2-2E68-4CB8-BC5B-C6A50987DEDB}">
      <dgm:prSet phldrT="[Text]"/>
      <dgm:spPr/>
      <dgm:t>
        <a:bodyPr/>
        <a:lstStyle/>
        <a:p>
          <a:r>
            <a:rPr lang="en-US"/>
            <a:t>Organizational Feedback</a:t>
          </a:r>
        </a:p>
      </dgm:t>
    </dgm:pt>
    <dgm:pt modelId="{8BC39EBE-158F-474A-8ED0-C458418226D6}" type="parTrans" cxnId="{1C01285A-0A43-464C-A710-F70E3C23C76F}">
      <dgm:prSet/>
      <dgm:spPr/>
      <dgm:t>
        <a:bodyPr/>
        <a:lstStyle/>
        <a:p>
          <a:endParaRPr lang="en-US"/>
        </a:p>
      </dgm:t>
    </dgm:pt>
    <dgm:pt modelId="{A727FCD1-B530-4EEC-A67E-848A12D58C4E}" type="sibTrans" cxnId="{1C01285A-0A43-464C-A710-F70E3C23C76F}">
      <dgm:prSet/>
      <dgm:spPr/>
      <dgm:t>
        <a:bodyPr/>
        <a:lstStyle/>
        <a:p>
          <a:endParaRPr lang="en-US"/>
        </a:p>
      </dgm:t>
    </dgm:pt>
    <dgm:pt modelId="{E4499B7F-198D-4E64-9933-F11432660EFF}">
      <dgm:prSet phldrT="[Text]"/>
      <dgm:spPr/>
      <dgm:t>
        <a:bodyPr/>
        <a:lstStyle/>
        <a:p>
          <a:r>
            <a:rPr lang="en-US"/>
            <a:t>Who</a:t>
          </a:r>
        </a:p>
      </dgm:t>
    </dgm:pt>
    <dgm:pt modelId="{F574319A-FBEF-479E-981D-1FBA6044A101}" type="parTrans" cxnId="{98C9E457-DAC0-4DDE-B7DB-1E30530ECE9C}">
      <dgm:prSet/>
      <dgm:spPr/>
      <dgm:t>
        <a:bodyPr/>
        <a:lstStyle/>
        <a:p>
          <a:endParaRPr lang="en-US"/>
        </a:p>
      </dgm:t>
    </dgm:pt>
    <dgm:pt modelId="{5C3EFE45-58A0-486D-9754-03D03286BA37}" type="sibTrans" cxnId="{98C9E457-DAC0-4DDE-B7DB-1E30530ECE9C}">
      <dgm:prSet/>
      <dgm:spPr/>
      <dgm:t>
        <a:bodyPr/>
        <a:lstStyle/>
        <a:p>
          <a:endParaRPr lang="en-US"/>
        </a:p>
      </dgm:t>
    </dgm:pt>
    <dgm:pt modelId="{454FCD00-AB92-4EA8-B08D-2DF9BF54D702}">
      <dgm:prSet phldrT="[Text]"/>
      <dgm:spPr/>
      <dgm:t>
        <a:bodyPr/>
        <a:lstStyle/>
        <a:p>
          <a:r>
            <a:rPr lang="en-US"/>
            <a:t>How</a:t>
          </a:r>
        </a:p>
      </dgm:t>
    </dgm:pt>
    <dgm:pt modelId="{9B02BF9F-516B-4CDA-9E33-01353530E354}" type="parTrans" cxnId="{00CDFC8E-4B6C-489C-8E24-D06CC7C6C669}">
      <dgm:prSet/>
      <dgm:spPr/>
      <dgm:t>
        <a:bodyPr/>
        <a:lstStyle/>
        <a:p>
          <a:endParaRPr lang="en-US"/>
        </a:p>
      </dgm:t>
    </dgm:pt>
    <dgm:pt modelId="{4383CC77-81AA-408B-ACE8-56F28555777F}" type="sibTrans" cxnId="{00CDFC8E-4B6C-489C-8E24-D06CC7C6C669}">
      <dgm:prSet/>
      <dgm:spPr/>
      <dgm:t>
        <a:bodyPr/>
        <a:lstStyle/>
        <a:p>
          <a:endParaRPr lang="en-US"/>
        </a:p>
      </dgm:t>
    </dgm:pt>
    <dgm:pt modelId="{D4E5C9C0-14FA-4C82-B298-09BFCEB8D98D}">
      <dgm:prSet phldrT="[Text]"/>
      <dgm:spPr/>
      <dgm:t>
        <a:bodyPr/>
        <a:lstStyle/>
        <a:p>
          <a:r>
            <a:rPr lang="en-US"/>
            <a:t>What</a:t>
          </a:r>
        </a:p>
      </dgm:t>
    </dgm:pt>
    <dgm:pt modelId="{D52880B1-4C7A-42AE-BF0E-22F96170F00A}" type="parTrans" cxnId="{120A6A06-ED32-4459-ADF4-21F4FA975D5B}">
      <dgm:prSet/>
      <dgm:spPr/>
      <dgm:t>
        <a:bodyPr/>
        <a:lstStyle/>
        <a:p>
          <a:endParaRPr lang="en-US"/>
        </a:p>
      </dgm:t>
    </dgm:pt>
    <dgm:pt modelId="{6C963613-00E2-468F-A8F3-0C3B36A32FE6}" type="sibTrans" cxnId="{120A6A06-ED32-4459-ADF4-21F4FA975D5B}">
      <dgm:prSet/>
      <dgm:spPr/>
      <dgm:t>
        <a:bodyPr/>
        <a:lstStyle/>
        <a:p>
          <a:endParaRPr lang="en-US"/>
        </a:p>
      </dgm:t>
    </dgm:pt>
    <dgm:pt modelId="{17BAF120-213C-48FC-B584-23D234558685}">
      <dgm:prSet phldrT="[Text]"/>
      <dgm:spPr/>
      <dgm:t>
        <a:bodyPr/>
        <a:lstStyle/>
        <a:p>
          <a:r>
            <a:rPr lang="en-US"/>
            <a:t>Outcomes</a:t>
          </a:r>
        </a:p>
      </dgm:t>
    </dgm:pt>
    <dgm:pt modelId="{0453A1BC-0C07-4294-9734-DBB03FD7D5D7}" type="parTrans" cxnId="{DF7050BF-DEAA-403F-9950-7ABF188E910D}">
      <dgm:prSet/>
      <dgm:spPr/>
      <dgm:t>
        <a:bodyPr/>
        <a:lstStyle/>
        <a:p>
          <a:endParaRPr lang="en-US"/>
        </a:p>
      </dgm:t>
    </dgm:pt>
    <dgm:pt modelId="{B70DE77F-5A9E-49FD-93B9-D802E9C606C4}" type="sibTrans" cxnId="{DF7050BF-DEAA-403F-9950-7ABF188E910D}">
      <dgm:prSet/>
      <dgm:spPr/>
      <dgm:t>
        <a:bodyPr/>
        <a:lstStyle/>
        <a:p>
          <a:endParaRPr lang="en-US"/>
        </a:p>
      </dgm:t>
    </dgm:pt>
    <dgm:pt modelId="{72088912-5611-4B5A-9033-14DE4383E6E1}">
      <dgm:prSet phldrT="[Text]"/>
      <dgm:spPr/>
      <dgm:t>
        <a:bodyPr/>
        <a:lstStyle/>
        <a:p>
          <a:r>
            <a:rPr lang="en-US"/>
            <a:t>Decision Support Data System</a:t>
          </a:r>
        </a:p>
      </dgm:t>
    </dgm:pt>
    <dgm:pt modelId="{403A7EFC-E22D-4888-8183-00B5CD4213D1}" type="parTrans" cxnId="{4DDB72A9-85A3-4D90-A795-5E205A58A465}">
      <dgm:prSet/>
      <dgm:spPr/>
      <dgm:t>
        <a:bodyPr/>
        <a:lstStyle/>
        <a:p>
          <a:endParaRPr lang="en-US"/>
        </a:p>
      </dgm:t>
    </dgm:pt>
    <dgm:pt modelId="{40F807C4-3370-4A3B-A7A8-A0D71A25D591}" type="sibTrans" cxnId="{4DDB72A9-85A3-4D90-A795-5E205A58A465}">
      <dgm:prSet/>
      <dgm:spPr/>
      <dgm:t>
        <a:bodyPr/>
        <a:lstStyle/>
        <a:p>
          <a:endParaRPr lang="en-US"/>
        </a:p>
      </dgm:t>
    </dgm:pt>
    <dgm:pt modelId="{B222D085-4949-44BF-97CC-BD972D1AA724}">
      <dgm:prSet phldrT="[Text]"/>
      <dgm:spPr/>
      <dgm:t>
        <a:bodyPr/>
        <a:lstStyle/>
        <a:p>
          <a:r>
            <a:rPr lang="en-US"/>
            <a:t>Administrative Support Functions</a:t>
          </a:r>
        </a:p>
      </dgm:t>
    </dgm:pt>
    <dgm:pt modelId="{79BAF438-5B21-4D2E-936D-5954946DBC79}" type="parTrans" cxnId="{A7337D74-53DB-466F-90BD-3CC8BF9A9E37}">
      <dgm:prSet/>
      <dgm:spPr/>
      <dgm:t>
        <a:bodyPr/>
        <a:lstStyle/>
        <a:p>
          <a:endParaRPr lang="en-US"/>
        </a:p>
      </dgm:t>
    </dgm:pt>
    <dgm:pt modelId="{C1823459-3813-44AD-A3DA-3F7C2B24DD5F}" type="sibTrans" cxnId="{A7337D74-53DB-466F-90BD-3CC8BF9A9E37}">
      <dgm:prSet/>
      <dgm:spPr/>
      <dgm:t>
        <a:bodyPr/>
        <a:lstStyle/>
        <a:p>
          <a:endParaRPr lang="en-US"/>
        </a:p>
      </dgm:t>
    </dgm:pt>
    <dgm:pt modelId="{6CCE5215-B4B4-4379-8B27-FC46E32D208D}">
      <dgm:prSet phldrT="[Text]"/>
      <dgm:spPr/>
      <dgm:t>
        <a:bodyPr/>
        <a:lstStyle/>
        <a:p>
          <a:r>
            <a:rPr lang="en-US"/>
            <a:t>Systems Improvement</a:t>
          </a:r>
        </a:p>
      </dgm:t>
    </dgm:pt>
    <dgm:pt modelId="{FF8CC2E5-6834-44B5-B50C-1D727772137B}" type="parTrans" cxnId="{62808BDD-AD2F-4A7D-A9A0-8C7BD4051E98}">
      <dgm:prSet/>
      <dgm:spPr/>
      <dgm:t>
        <a:bodyPr/>
        <a:lstStyle/>
        <a:p>
          <a:endParaRPr lang="en-US"/>
        </a:p>
      </dgm:t>
    </dgm:pt>
    <dgm:pt modelId="{04317205-99A4-46DB-B3FD-DDDA98D0AE0F}" type="sibTrans" cxnId="{62808BDD-AD2F-4A7D-A9A0-8C7BD4051E98}">
      <dgm:prSet/>
      <dgm:spPr/>
      <dgm:t>
        <a:bodyPr/>
        <a:lstStyle/>
        <a:p>
          <a:endParaRPr lang="en-US"/>
        </a:p>
      </dgm:t>
    </dgm:pt>
    <dgm:pt modelId="{B33E003D-10A9-4521-B8A1-010D316F2FBC}">
      <dgm:prSet phldrT="[Text]"/>
      <dgm:spPr/>
      <dgm:t>
        <a:bodyPr/>
        <a:lstStyle/>
        <a:p>
          <a:r>
            <a:rPr lang="en-US"/>
            <a:t>Technical </a:t>
          </a:r>
        </a:p>
      </dgm:t>
    </dgm:pt>
    <dgm:pt modelId="{D6F0D5CB-641B-465B-8C24-3C571536A642}" type="parTrans" cxnId="{E05278DD-CA60-4A42-936C-D58AB8FC6B9E}">
      <dgm:prSet/>
      <dgm:spPr/>
      <dgm:t>
        <a:bodyPr/>
        <a:lstStyle/>
        <a:p>
          <a:endParaRPr lang="en-US"/>
        </a:p>
      </dgm:t>
    </dgm:pt>
    <dgm:pt modelId="{2B91ADF3-C0EF-41F4-A828-2EF129F5B10A}" type="sibTrans" cxnId="{E05278DD-CA60-4A42-936C-D58AB8FC6B9E}">
      <dgm:prSet/>
      <dgm:spPr/>
      <dgm:t>
        <a:bodyPr/>
        <a:lstStyle/>
        <a:p>
          <a:endParaRPr lang="en-US"/>
        </a:p>
      </dgm:t>
    </dgm:pt>
    <dgm:pt modelId="{66A89AF5-D2DF-4419-88B8-D8B9C3D665A3}">
      <dgm:prSet phldrT="[Text]"/>
      <dgm:spPr/>
      <dgm:t>
        <a:bodyPr/>
        <a:lstStyle/>
        <a:p>
          <a:r>
            <a:rPr lang="en-US"/>
            <a:t>Adaptive</a:t>
          </a:r>
        </a:p>
      </dgm:t>
    </dgm:pt>
    <dgm:pt modelId="{C5C5F64D-6277-49A1-924D-A4F715011C97}" type="parTrans" cxnId="{FF4B0947-4FA8-45D6-8D96-369DE14FBA94}">
      <dgm:prSet/>
      <dgm:spPr/>
      <dgm:t>
        <a:bodyPr/>
        <a:lstStyle/>
        <a:p>
          <a:endParaRPr lang="en-US"/>
        </a:p>
      </dgm:t>
    </dgm:pt>
    <dgm:pt modelId="{51FD14A5-3CC5-41AE-9383-D33BA1385616}" type="sibTrans" cxnId="{FF4B0947-4FA8-45D6-8D96-369DE14FBA94}">
      <dgm:prSet/>
      <dgm:spPr/>
      <dgm:t>
        <a:bodyPr/>
        <a:lstStyle/>
        <a:p>
          <a:endParaRPr lang="en-US"/>
        </a:p>
      </dgm:t>
    </dgm:pt>
    <dgm:pt modelId="{C752DA44-DF29-48BF-842A-B072BAFE5D87}">
      <dgm:prSet phldrT="[Text]"/>
      <dgm:spPr/>
      <dgm:t>
        <a:bodyPr/>
        <a:lstStyle/>
        <a:p>
          <a:r>
            <a:rPr lang="en-US"/>
            <a:t>SEA Leadership for Effective Teacher Education </a:t>
          </a:r>
        </a:p>
      </dgm:t>
    </dgm:pt>
    <dgm:pt modelId="{EC371B86-8A41-46C0-830E-940DE1F04DCC}" type="sibTrans" cxnId="{25BFC61A-32BD-403E-AD19-AC7291DEF5AA}">
      <dgm:prSet/>
      <dgm:spPr/>
      <dgm:t>
        <a:bodyPr/>
        <a:lstStyle/>
        <a:p>
          <a:endParaRPr lang="en-US"/>
        </a:p>
      </dgm:t>
    </dgm:pt>
    <dgm:pt modelId="{6844F7AD-B8CE-4A9A-AAFB-B6E431929B0A}" type="parTrans" cxnId="{25BFC61A-32BD-403E-AD19-AC7291DEF5AA}">
      <dgm:prSet/>
      <dgm:spPr/>
      <dgm:t>
        <a:bodyPr/>
        <a:lstStyle/>
        <a:p>
          <a:endParaRPr lang="en-US"/>
        </a:p>
      </dgm:t>
    </dgm:pt>
    <dgm:pt modelId="{E0EB61F1-D627-4FDD-9631-BBB44985A337}" type="pres">
      <dgm:prSet presAssocID="{7853786C-B71E-485F-A640-706DEBB990EF}" presName="Name0" presStyleCnt="0">
        <dgm:presLayoutVars>
          <dgm:chMax val="3"/>
          <dgm:chPref val="1"/>
          <dgm:dir/>
          <dgm:animLvl val="lvl"/>
          <dgm:resizeHandles/>
        </dgm:presLayoutVars>
      </dgm:prSet>
      <dgm:spPr/>
      <dgm:t>
        <a:bodyPr/>
        <a:lstStyle/>
        <a:p>
          <a:endParaRPr lang="en-US"/>
        </a:p>
      </dgm:t>
    </dgm:pt>
    <dgm:pt modelId="{6DEF3C47-57C5-4659-AB82-FD59FFF43CBD}" type="pres">
      <dgm:prSet presAssocID="{7853786C-B71E-485F-A640-706DEBB990EF}" presName="outerBox" presStyleCnt="0"/>
      <dgm:spPr/>
      <dgm:t>
        <a:bodyPr/>
        <a:lstStyle/>
        <a:p>
          <a:endParaRPr lang="en-US"/>
        </a:p>
      </dgm:t>
    </dgm:pt>
    <dgm:pt modelId="{1C1AD1F2-1A9D-41B8-9E08-C0B0BA7F0D71}" type="pres">
      <dgm:prSet presAssocID="{7853786C-B71E-485F-A640-706DEBB990EF}" presName="outerBoxParent" presStyleLbl="node1" presStyleIdx="0" presStyleCnt="3" custLinFactNeighborY="-14286"/>
      <dgm:spPr/>
      <dgm:t>
        <a:bodyPr/>
        <a:lstStyle/>
        <a:p>
          <a:endParaRPr lang="en-US"/>
        </a:p>
      </dgm:t>
    </dgm:pt>
    <dgm:pt modelId="{D9DEAF8C-7C70-4E2A-B781-89383A1F41D3}" type="pres">
      <dgm:prSet presAssocID="{7853786C-B71E-485F-A640-706DEBB990EF}" presName="outerBoxChildren" presStyleCnt="0"/>
      <dgm:spPr/>
      <dgm:t>
        <a:bodyPr/>
        <a:lstStyle/>
        <a:p>
          <a:endParaRPr lang="en-US"/>
        </a:p>
      </dgm:t>
    </dgm:pt>
    <dgm:pt modelId="{CDA86983-DF65-4F07-A0CE-98F09C315E76}" type="pres">
      <dgm:prSet presAssocID="{B33E003D-10A9-4521-B8A1-010D316F2FBC}" presName="oChild" presStyleLbl="fgAcc1" presStyleIdx="0" presStyleCnt="9">
        <dgm:presLayoutVars>
          <dgm:bulletEnabled val="1"/>
        </dgm:presLayoutVars>
      </dgm:prSet>
      <dgm:spPr/>
      <dgm:t>
        <a:bodyPr/>
        <a:lstStyle/>
        <a:p>
          <a:endParaRPr lang="en-US"/>
        </a:p>
      </dgm:t>
    </dgm:pt>
    <dgm:pt modelId="{012162A9-9ABF-4E57-8C82-D0DB9ACB41F2}" type="pres">
      <dgm:prSet presAssocID="{2B91ADF3-C0EF-41F4-A828-2EF129F5B10A}" presName="outerSibTrans" presStyleCnt="0"/>
      <dgm:spPr/>
      <dgm:t>
        <a:bodyPr/>
        <a:lstStyle/>
        <a:p>
          <a:endParaRPr lang="en-US"/>
        </a:p>
      </dgm:t>
    </dgm:pt>
    <dgm:pt modelId="{A0A13861-9FD0-43B5-BEA9-684C79A75CF5}" type="pres">
      <dgm:prSet presAssocID="{66A89AF5-D2DF-4419-88B8-D8B9C3D665A3}" presName="oChild" presStyleLbl="fgAcc1" presStyleIdx="1" presStyleCnt="9">
        <dgm:presLayoutVars>
          <dgm:bulletEnabled val="1"/>
        </dgm:presLayoutVars>
      </dgm:prSet>
      <dgm:spPr/>
      <dgm:t>
        <a:bodyPr/>
        <a:lstStyle/>
        <a:p>
          <a:endParaRPr lang="en-US"/>
        </a:p>
      </dgm:t>
    </dgm:pt>
    <dgm:pt modelId="{18F0A31B-4549-4939-AF11-C2BC053A74BB}" type="pres">
      <dgm:prSet presAssocID="{7853786C-B71E-485F-A640-706DEBB990EF}" presName="middleBox" presStyleCnt="0"/>
      <dgm:spPr/>
      <dgm:t>
        <a:bodyPr/>
        <a:lstStyle/>
        <a:p>
          <a:endParaRPr lang="en-US"/>
        </a:p>
      </dgm:t>
    </dgm:pt>
    <dgm:pt modelId="{95372AB2-A451-4CBA-AF87-F6EAB0D24D27}" type="pres">
      <dgm:prSet presAssocID="{7853786C-B71E-485F-A640-706DEBB990EF}" presName="middleBoxParent" presStyleLbl="node1" presStyleIdx="1" presStyleCnt="3"/>
      <dgm:spPr/>
      <dgm:t>
        <a:bodyPr/>
        <a:lstStyle/>
        <a:p>
          <a:endParaRPr lang="en-US"/>
        </a:p>
      </dgm:t>
    </dgm:pt>
    <dgm:pt modelId="{736D5889-4BAE-4D63-BF97-61B115DCEA72}" type="pres">
      <dgm:prSet presAssocID="{7853786C-B71E-485F-A640-706DEBB990EF}" presName="middleBoxChildren" presStyleCnt="0"/>
      <dgm:spPr/>
      <dgm:t>
        <a:bodyPr/>
        <a:lstStyle/>
        <a:p>
          <a:endParaRPr lang="en-US"/>
        </a:p>
      </dgm:t>
    </dgm:pt>
    <dgm:pt modelId="{D82C76BA-137C-46C3-849F-89329E8A31B7}" type="pres">
      <dgm:prSet presAssocID="{72088912-5611-4B5A-9033-14DE4383E6E1}" presName="mChild" presStyleLbl="fgAcc1" presStyleIdx="2" presStyleCnt="9">
        <dgm:presLayoutVars>
          <dgm:bulletEnabled val="1"/>
        </dgm:presLayoutVars>
      </dgm:prSet>
      <dgm:spPr/>
      <dgm:t>
        <a:bodyPr/>
        <a:lstStyle/>
        <a:p>
          <a:endParaRPr lang="en-US"/>
        </a:p>
      </dgm:t>
    </dgm:pt>
    <dgm:pt modelId="{2E8FD2CD-1C03-43EC-BE37-EE8757DEDE62}" type="pres">
      <dgm:prSet presAssocID="{40F807C4-3370-4A3B-A7A8-A0D71A25D591}" presName="middleSibTrans" presStyleCnt="0"/>
      <dgm:spPr/>
      <dgm:t>
        <a:bodyPr/>
        <a:lstStyle/>
        <a:p>
          <a:endParaRPr lang="en-US"/>
        </a:p>
      </dgm:t>
    </dgm:pt>
    <dgm:pt modelId="{22D0E563-0ED7-40F4-A61E-F6CA2C65D7A9}" type="pres">
      <dgm:prSet presAssocID="{B222D085-4949-44BF-97CC-BD972D1AA724}" presName="mChild" presStyleLbl="fgAcc1" presStyleIdx="3" presStyleCnt="9">
        <dgm:presLayoutVars>
          <dgm:bulletEnabled val="1"/>
        </dgm:presLayoutVars>
      </dgm:prSet>
      <dgm:spPr/>
      <dgm:t>
        <a:bodyPr/>
        <a:lstStyle/>
        <a:p>
          <a:endParaRPr lang="en-US"/>
        </a:p>
      </dgm:t>
    </dgm:pt>
    <dgm:pt modelId="{C364E108-E124-4403-A277-2C51903D0939}" type="pres">
      <dgm:prSet presAssocID="{C1823459-3813-44AD-A3DA-3F7C2B24DD5F}" presName="middleSibTrans" presStyleCnt="0"/>
      <dgm:spPr/>
      <dgm:t>
        <a:bodyPr/>
        <a:lstStyle/>
        <a:p>
          <a:endParaRPr lang="en-US"/>
        </a:p>
      </dgm:t>
    </dgm:pt>
    <dgm:pt modelId="{8F710991-B9BB-440E-A73D-9061E8F4066C}" type="pres">
      <dgm:prSet presAssocID="{6CCE5215-B4B4-4379-8B27-FC46E32D208D}" presName="mChild" presStyleLbl="fgAcc1" presStyleIdx="4" presStyleCnt="9">
        <dgm:presLayoutVars>
          <dgm:bulletEnabled val="1"/>
        </dgm:presLayoutVars>
      </dgm:prSet>
      <dgm:spPr/>
      <dgm:t>
        <a:bodyPr/>
        <a:lstStyle/>
        <a:p>
          <a:endParaRPr lang="en-US"/>
        </a:p>
      </dgm:t>
    </dgm:pt>
    <dgm:pt modelId="{9BDDB973-552F-4193-A119-9E546BB3B61A}" type="pres">
      <dgm:prSet presAssocID="{7853786C-B71E-485F-A640-706DEBB990EF}" presName="centerBox" presStyleCnt="0"/>
      <dgm:spPr/>
      <dgm:t>
        <a:bodyPr/>
        <a:lstStyle/>
        <a:p>
          <a:endParaRPr lang="en-US"/>
        </a:p>
      </dgm:t>
    </dgm:pt>
    <dgm:pt modelId="{FB3F29FB-266C-47EB-AB4C-781422112660}" type="pres">
      <dgm:prSet presAssocID="{7853786C-B71E-485F-A640-706DEBB990EF}" presName="centerBoxParent" presStyleLbl="node1" presStyleIdx="2" presStyleCnt="3"/>
      <dgm:spPr/>
      <dgm:t>
        <a:bodyPr/>
        <a:lstStyle/>
        <a:p>
          <a:endParaRPr lang="en-US"/>
        </a:p>
      </dgm:t>
    </dgm:pt>
    <dgm:pt modelId="{743192F2-9107-4832-8C6D-BE2D8EC25D62}" type="pres">
      <dgm:prSet presAssocID="{7853786C-B71E-485F-A640-706DEBB990EF}" presName="centerBoxChildren" presStyleCnt="0"/>
      <dgm:spPr/>
      <dgm:t>
        <a:bodyPr/>
        <a:lstStyle/>
        <a:p>
          <a:endParaRPr lang="en-US"/>
        </a:p>
      </dgm:t>
    </dgm:pt>
    <dgm:pt modelId="{6A4D06C1-BD9F-4DD1-82D8-777EB34AE597}" type="pres">
      <dgm:prSet presAssocID="{E4499B7F-198D-4E64-9933-F11432660EFF}" presName="cChild" presStyleLbl="fgAcc1" presStyleIdx="5" presStyleCnt="9">
        <dgm:presLayoutVars>
          <dgm:bulletEnabled val="1"/>
        </dgm:presLayoutVars>
      </dgm:prSet>
      <dgm:spPr/>
      <dgm:t>
        <a:bodyPr/>
        <a:lstStyle/>
        <a:p>
          <a:endParaRPr lang="en-US"/>
        </a:p>
      </dgm:t>
    </dgm:pt>
    <dgm:pt modelId="{C5A75850-5595-4CC8-9BEF-F4BF10903C5A}" type="pres">
      <dgm:prSet presAssocID="{5C3EFE45-58A0-486D-9754-03D03286BA37}" presName="centerSibTrans" presStyleCnt="0"/>
      <dgm:spPr/>
      <dgm:t>
        <a:bodyPr/>
        <a:lstStyle/>
        <a:p>
          <a:endParaRPr lang="en-US"/>
        </a:p>
      </dgm:t>
    </dgm:pt>
    <dgm:pt modelId="{2B3144C1-D37A-4F8D-8323-53206149D53E}" type="pres">
      <dgm:prSet presAssocID="{454FCD00-AB92-4EA8-B08D-2DF9BF54D702}" presName="cChild" presStyleLbl="fgAcc1" presStyleIdx="6" presStyleCnt="9">
        <dgm:presLayoutVars>
          <dgm:bulletEnabled val="1"/>
        </dgm:presLayoutVars>
      </dgm:prSet>
      <dgm:spPr/>
      <dgm:t>
        <a:bodyPr/>
        <a:lstStyle/>
        <a:p>
          <a:endParaRPr lang="en-US"/>
        </a:p>
      </dgm:t>
    </dgm:pt>
    <dgm:pt modelId="{9D46E300-04E9-4F62-8205-D0C9C76E7EF8}" type="pres">
      <dgm:prSet presAssocID="{4383CC77-81AA-408B-ACE8-56F28555777F}" presName="centerSibTrans" presStyleCnt="0"/>
      <dgm:spPr/>
      <dgm:t>
        <a:bodyPr/>
        <a:lstStyle/>
        <a:p>
          <a:endParaRPr lang="en-US"/>
        </a:p>
      </dgm:t>
    </dgm:pt>
    <dgm:pt modelId="{95752F1D-99C3-4097-90D3-6759AFAB1366}" type="pres">
      <dgm:prSet presAssocID="{D4E5C9C0-14FA-4C82-B298-09BFCEB8D98D}" presName="cChild" presStyleLbl="fgAcc1" presStyleIdx="7" presStyleCnt="9">
        <dgm:presLayoutVars>
          <dgm:bulletEnabled val="1"/>
        </dgm:presLayoutVars>
      </dgm:prSet>
      <dgm:spPr/>
      <dgm:t>
        <a:bodyPr/>
        <a:lstStyle/>
        <a:p>
          <a:endParaRPr lang="en-US"/>
        </a:p>
      </dgm:t>
    </dgm:pt>
    <dgm:pt modelId="{62C75C98-70E8-4B3A-A7DB-7DF7E3DF47D4}" type="pres">
      <dgm:prSet presAssocID="{6C963613-00E2-468F-A8F3-0C3B36A32FE6}" presName="centerSibTrans" presStyleCnt="0"/>
      <dgm:spPr/>
      <dgm:t>
        <a:bodyPr/>
        <a:lstStyle/>
        <a:p>
          <a:endParaRPr lang="en-US"/>
        </a:p>
      </dgm:t>
    </dgm:pt>
    <dgm:pt modelId="{BC193987-5DA4-44D4-99C2-498DF759F687}" type="pres">
      <dgm:prSet presAssocID="{17BAF120-213C-48FC-B584-23D234558685}" presName="cChild" presStyleLbl="fgAcc1" presStyleIdx="8" presStyleCnt="9">
        <dgm:presLayoutVars>
          <dgm:bulletEnabled val="1"/>
        </dgm:presLayoutVars>
      </dgm:prSet>
      <dgm:spPr/>
      <dgm:t>
        <a:bodyPr/>
        <a:lstStyle/>
        <a:p>
          <a:endParaRPr lang="en-US"/>
        </a:p>
      </dgm:t>
    </dgm:pt>
  </dgm:ptLst>
  <dgm:cxnLst>
    <dgm:cxn modelId="{DF7050BF-DEAA-403F-9950-7ABF188E910D}" srcId="{1DFF909C-1561-469D-A680-ABA706C0781A}" destId="{17BAF120-213C-48FC-B584-23D234558685}" srcOrd="3" destOrd="0" parTransId="{0453A1BC-0C07-4294-9734-DBB03FD7D5D7}" sibTransId="{B70DE77F-5A9E-49FD-93B9-D802E9C606C4}"/>
    <dgm:cxn modelId="{49D2AE0D-94CB-E444-94FB-707FDE064C30}" type="presOf" srcId="{1DFF909C-1561-469D-A680-ABA706C0781A}" destId="{FB3F29FB-266C-47EB-AB4C-781422112660}" srcOrd="0" destOrd="0" presId="urn:microsoft.com/office/officeart/2005/8/layout/target2"/>
    <dgm:cxn modelId="{C912CF7C-F4E2-0043-AB2A-A4B3F2C4DF75}" type="presOf" srcId="{E4499B7F-198D-4E64-9933-F11432660EFF}" destId="{6A4D06C1-BD9F-4DD1-82D8-777EB34AE597}" srcOrd="0" destOrd="0" presId="urn:microsoft.com/office/officeart/2005/8/layout/target2"/>
    <dgm:cxn modelId="{85A9729F-D852-5046-97BC-D8AFF1A6490F}" type="presOf" srcId="{17BAF120-213C-48FC-B584-23D234558685}" destId="{BC193987-5DA4-44D4-99C2-498DF759F687}" srcOrd="0" destOrd="0" presId="urn:microsoft.com/office/officeart/2005/8/layout/target2"/>
    <dgm:cxn modelId="{E05278DD-CA60-4A42-936C-D58AB8FC6B9E}" srcId="{C752DA44-DF29-48BF-842A-B072BAFE5D87}" destId="{B33E003D-10A9-4521-B8A1-010D316F2FBC}" srcOrd="0" destOrd="0" parTransId="{D6F0D5CB-641B-465B-8C24-3C571536A642}" sibTransId="{2B91ADF3-C0EF-41F4-A828-2EF129F5B10A}"/>
    <dgm:cxn modelId="{606E5B4B-794F-B14F-9D5B-77AB42460023}" type="presOf" srcId="{454FCD00-AB92-4EA8-B08D-2DF9BF54D702}" destId="{2B3144C1-D37A-4F8D-8323-53206149D53E}" srcOrd="0" destOrd="0" presId="urn:microsoft.com/office/officeart/2005/8/layout/target2"/>
    <dgm:cxn modelId="{00CDFC8E-4B6C-489C-8E24-D06CC7C6C669}" srcId="{1DFF909C-1561-469D-A680-ABA706C0781A}" destId="{454FCD00-AB92-4EA8-B08D-2DF9BF54D702}" srcOrd="1" destOrd="0" parTransId="{9B02BF9F-516B-4CDA-9E33-01353530E354}" sibTransId="{4383CC77-81AA-408B-ACE8-56F28555777F}"/>
    <dgm:cxn modelId="{7790EC04-3B26-4799-99D3-A49F413FB1E2}" srcId="{7853786C-B71E-485F-A640-706DEBB990EF}" destId="{1DFF909C-1561-469D-A680-ABA706C0781A}" srcOrd="2" destOrd="0" parTransId="{92091F3F-A2D8-4CBE-9280-0F82F40E29B7}" sibTransId="{5EB6A09A-6261-4659-8713-AB21B7EC9BEF}"/>
    <dgm:cxn modelId="{577938E5-DA3C-DD46-A38C-60D717104D0C}" type="presOf" srcId="{B33E003D-10A9-4521-B8A1-010D316F2FBC}" destId="{CDA86983-DF65-4F07-A0CE-98F09C315E76}" srcOrd="0" destOrd="0" presId="urn:microsoft.com/office/officeart/2005/8/layout/target2"/>
    <dgm:cxn modelId="{5131ECE4-3544-2C4F-9E3F-7AE5BFFF0125}" type="presOf" srcId="{D4E5C9C0-14FA-4C82-B298-09BFCEB8D98D}" destId="{95752F1D-99C3-4097-90D3-6759AFAB1366}" srcOrd="0" destOrd="0" presId="urn:microsoft.com/office/officeart/2005/8/layout/target2"/>
    <dgm:cxn modelId="{784E23CD-873C-944A-9DE8-6D0B7E88B4B9}" type="presOf" srcId="{C752DA44-DF29-48BF-842A-B072BAFE5D87}" destId="{1C1AD1F2-1A9D-41B8-9E08-C0B0BA7F0D71}" srcOrd="0" destOrd="0" presId="urn:microsoft.com/office/officeart/2005/8/layout/target2"/>
    <dgm:cxn modelId="{120A6A06-ED32-4459-ADF4-21F4FA975D5B}" srcId="{1DFF909C-1561-469D-A680-ABA706C0781A}" destId="{D4E5C9C0-14FA-4C82-B298-09BFCEB8D98D}" srcOrd="2" destOrd="0" parTransId="{D52880B1-4C7A-42AE-BF0E-22F96170F00A}" sibTransId="{6C963613-00E2-468F-A8F3-0C3B36A32FE6}"/>
    <dgm:cxn modelId="{1C01285A-0A43-464C-A710-F70E3C23C76F}" srcId="{7853786C-B71E-485F-A640-706DEBB990EF}" destId="{BFCCDBD2-2E68-4CB8-BC5B-C6A50987DEDB}" srcOrd="1" destOrd="0" parTransId="{8BC39EBE-158F-474A-8ED0-C458418226D6}" sibTransId="{A727FCD1-B530-4EEC-A67E-848A12D58C4E}"/>
    <dgm:cxn modelId="{D66800E4-822C-6541-A4B5-0A60D4250B38}" type="presOf" srcId="{BFCCDBD2-2E68-4CB8-BC5B-C6A50987DEDB}" destId="{95372AB2-A451-4CBA-AF87-F6EAB0D24D27}" srcOrd="0" destOrd="0" presId="urn:microsoft.com/office/officeart/2005/8/layout/target2"/>
    <dgm:cxn modelId="{6A9B13CF-02D7-CE49-8812-4D9289720268}" type="presOf" srcId="{72088912-5611-4B5A-9033-14DE4383E6E1}" destId="{D82C76BA-137C-46C3-849F-89329E8A31B7}" srcOrd="0" destOrd="0" presId="urn:microsoft.com/office/officeart/2005/8/layout/target2"/>
    <dgm:cxn modelId="{25BFC61A-32BD-403E-AD19-AC7291DEF5AA}" srcId="{7853786C-B71E-485F-A640-706DEBB990EF}" destId="{C752DA44-DF29-48BF-842A-B072BAFE5D87}" srcOrd="0" destOrd="0" parTransId="{6844F7AD-B8CE-4A9A-AAFB-B6E431929B0A}" sibTransId="{EC371B86-8A41-46C0-830E-940DE1F04DCC}"/>
    <dgm:cxn modelId="{4DDB72A9-85A3-4D90-A795-5E205A58A465}" srcId="{BFCCDBD2-2E68-4CB8-BC5B-C6A50987DEDB}" destId="{72088912-5611-4B5A-9033-14DE4383E6E1}" srcOrd="0" destOrd="0" parTransId="{403A7EFC-E22D-4888-8183-00B5CD4213D1}" sibTransId="{40F807C4-3370-4A3B-A7A8-A0D71A25D591}"/>
    <dgm:cxn modelId="{AC56A8C1-ADBE-CB41-A174-83214C2D875E}" type="presOf" srcId="{66A89AF5-D2DF-4419-88B8-D8B9C3D665A3}" destId="{A0A13861-9FD0-43B5-BEA9-684C79A75CF5}" srcOrd="0" destOrd="0" presId="urn:microsoft.com/office/officeart/2005/8/layout/target2"/>
    <dgm:cxn modelId="{A59F654C-A42F-FC41-BCCA-83148AA570DE}" type="presOf" srcId="{7853786C-B71E-485F-A640-706DEBB990EF}" destId="{E0EB61F1-D627-4FDD-9631-BBB44985A337}" srcOrd="0" destOrd="0" presId="urn:microsoft.com/office/officeart/2005/8/layout/target2"/>
    <dgm:cxn modelId="{CB8298A9-F984-2143-8DC1-DA0913EE537C}" type="presOf" srcId="{6CCE5215-B4B4-4379-8B27-FC46E32D208D}" destId="{8F710991-B9BB-440E-A73D-9061E8F4066C}" srcOrd="0" destOrd="0" presId="urn:microsoft.com/office/officeart/2005/8/layout/target2"/>
    <dgm:cxn modelId="{62808BDD-AD2F-4A7D-A9A0-8C7BD4051E98}" srcId="{BFCCDBD2-2E68-4CB8-BC5B-C6A50987DEDB}" destId="{6CCE5215-B4B4-4379-8B27-FC46E32D208D}" srcOrd="2" destOrd="0" parTransId="{FF8CC2E5-6834-44B5-B50C-1D727772137B}" sibTransId="{04317205-99A4-46DB-B3FD-DDDA98D0AE0F}"/>
    <dgm:cxn modelId="{2DD2666A-5A3C-F741-BDC0-3C2C8025787F}" type="presOf" srcId="{B222D085-4949-44BF-97CC-BD972D1AA724}" destId="{22D0E563-0ED7-40F4-A61E-F6CA2C65D7A9}" srcOrd="0" destOrd="0" presId="urn:microsoft.com/office/officeart/2005/8/layout/target2"/>
    <dgm:cxn modelId="{A7337D74-53DB-466F-90BD-3CC8BF9A9E37}" srcId="{BFCCDBD2-2E68-4CB8-BC5B-C6A50987DEDB}" destId="{B222D085-4949-44BF-97CC-BD972D1AA724}" srcOrd="1" destOrd="0" parTransId="{79BAF438-5B21-4D2E-936D-5954946DBC79}" sibTransId="{C1823459-3813-44AD-A3DA-3F7C2B24DD5F}"/>
    <dgm:cxn modelId="{FF4B0947-4FA8-45D6-8D96-369DE14FBA94}" srcId="{C752DA44-DF29-48BF-842A-B072BAFE5D87}" destId="{66A89AF5-D2DF-4419-88B8-D8B9C3D665A3}" srcOrd="1" destOrd="0" parTransId="{C5C5F64D-6277-49A1-924D-A4F715011C97}" sibTransId="{51FD14A5-3CC5-41AE-9383-D33BA1385616}"/>
    <dgm:cxn modelId="{98C9E457-DAC0-4DDE-B7DB-1E30530ECE9C}" srcId="{1DFF909C-1561-469D-A680-ABA706C0781A}" destId="{E4499B7F-198D-4E64-9933-F11432660EFF}" srcOrd="0" destOrd="0" parTransId="{F574319A-FBEF-479E-981D-1FBA6044A101}" sibTransId="{5C3EFE45-58A0-486D-9754-03D03286BA37}"/>
    <dgm:cxn modelId="{E6C01A8A-B237-0B48-A2D0-BDDC0F9CA236}" type="presParOf" srcId="{E0EB61F1-D627-4FDD-9631-BBB44985A337}" destId="{6DEF3C47-57C5-4659-AB82-FD59FFF43CBD}" srcOrd="0" destOrd="0" presId="urn:microsoft.com/office/officeart/2005/8/layout/target2"/>
    <dgm:cxn modelId="{02BBDCBD-3969-A64A-8D76-943F82D6EACF}" type="presParOf" srcId="{6DEF3C47-57C5-4659-AB82-FD59FFF43CBD}" destId="{1C1AD1F2-1A9D-41B8-9E08-C0B0BA7F0D71}" srcOrd="0" destOrd="0" presId="urn:microsoft.com/office/officeart/2005/8/layout/target2"/>
    <dgm:cxn modelId="{3FB39C69-AFDD-B641-846E-E339989F5D98}" type="presParOf" srcId="{6DEF3C47-57C5-4659-AB82-FD59FFF43CBD}" destId="{D9DEAF8C-7C70-4E2A-B781-89383A1F41D3}" srcOrd="1" destOrd="0" presId="urn:microsoft.com/office/officeart/2005/8/layout/target2"/>
    <dgm:cxn modelId="{B1B28D7B-F5DE-C542-AD0C-986D151F9DC8}" type="presParOf" srcId="{D9DEAF8C-7C70-4E2A-B781-89383A1F41D3}" destId="{CDA86983-DF65-4F07-A0CE-98F09C315E76}" srcOrd="0" destOrd="0" presId="urn:microsoft.com/office/officeart/2005/8/layout/target2"/>
    <dgm:cxn modelId="{18642F16-9BC2-C24B-B96D-1E7759F2E614}" type="presParOf" srcId="{D9DEAF8C-7C70-4E2A-B781-89383A1F41D3}" destId="{012162A9-9ABF-4E57-8C82-D0DB9ACB41F2}" srcOrd="1" destOrd="0" presId="urn:microsoft.com/office/officeart/2005/8/layout/target2"/>
    <dgm:cxn modelId="{89FC082E-CE8B-284B-A38A-DEDEECAACFA2}" type="presParOf" srcId="{D9DEAF8C-7C70-4E2A-B781-89383A1F41D3}" destId="{A0A13861-9FD0-43B5-BEA9-684C79A75CF5}" srcOrd="2" destOrd="0" presId="urn:microsoft.com/office/officeart/2005/8/layout/target2"/>
    <dgm:cxn modelId="{2D610615-C911-5E40-9436-7A04FD2E6742}" type="presParOf" srcId="{E0EB61F1-D627-4FDD-9631-BBB44985A337}" destId="{18F0A31B-4549-4939-AF11-C2BC053A74BB}" srcOrd="1" destOrd="0" presId="urn:microsoft.com/office/officeart/2005/8/layout/target2"/>
    <dgm:cxn modelId="{65D29FF3-7820-DF41-B996-6A2B4791466D}" type="presParOf" srcId="{18F0A31B-4549-4939-AF11-C2BC053A74BB}" destId="{95372AB2-A451-4CBA-AF87-F6EAB0D24D27}" srcOrd="0" destOrd="0" presId="urn:microsoft.com/office/officeart/2005/8/layout/target2"/>
    <dgm:cxn modelId="{567BDCC2-E4F6-FC43-85B0-82FBAF6F7064}" type="presParOf" srcId="{18F0A31B-4549-4939-AF11-C2BC053A74BB}" destId="{736D5889-4BAE-4D63-BF97-61B115DCEA72}" srcOrd="1" destOrd="0" presId="urn:microsoft.com/office/officeart/2005/8/layout/target2"/>
    <dgm:cxn modelId="{05E54D33-2432-2545-A4F2-9266D386B7C9}" type="presParOf" srcId="{736D5889-4BAE-4D63-BF97-61B115DCEA72}" destId="{D82C76BA-137C-46C3-849F-89329E8A31B7}" srcOrd="0" destOrd="0" presId="urn:microsoft.com/office/officeart/2005/8/layout/target2"/>
    <dgm:cxn modelId="{7927BBED-2CB9-A744-A0AA-F19514FDAE5F}" type="presParOf" srcId="{736D5889-4BAE-4D63-BF97-61B115DCEA72}" destId="{2E8FD2CD-1C03-43EC-BE37-EE8757DEDE62}" srcOrd="1" destOrd="0" presId="urn:microsoft.com/office/officeart/2005/8/layout/target2"/>
    <dgm:cxn modelId="{397DE791-9663-4D49-9B79-062E2717EAC8}" type="presParOf" srcId="{736D5889-4BAE-4D63-BF97-61B115DCEA72}" destId="{22D0E563-0ED7-40F4-A61E-F6CA2C65D7A9}" srcOrd="2" destOrd="0" presId="urn:microsoft.com/office/officeart/2005/8/layout/target2"/>
    <dgm:cxn modelId="{7D896B27-E1C2-F941-927D-F812C26B4B93}" type="presParOf" srcId="{736D5889-4BAE-4D63-BF97-61B115DCEA72}" destId="{C364E108-E124-4403-A277-2C51903D0939}" srcOrd="3" destOrd="0" presId="urn:microsoft.com/office/officeart/2005/8/layout/target2"/>
    <dgm:cxn modelId="{E5C9953F-5865-C448-930A-115D92EB676A}" type="presParOf" srcId="{736D5889-4BAE-4D63-BF97-61B115DCEA72}" destId="{8F710991-B9BB-440E-A73D-9061E8F4066C}" srcOrd="4" destOrd="0" presId="urn:microsoft.com/office/officeart/2005/8/layout/target2"/>
    <dgm:cxn modelId="{A6710D05-B634-8647-BA0A-358FEB0D7B49}" type="presParOf" srcId="{E0EB61F1-D627-4FDD-9631-BBB44985A337}" destId="{9BDDB973-552F-4193-A119-9E546BB3B61A}" srcOrd="2" destOrd="0" presId="urn:microsoft.com/office/officeart/2005/8/layout/target2"/>
    <dgm:cxn modelId="{E79A3736-976C-BE47-9E6B-235064577B4A}" type="presParOf" srcId="{9BDDB973-552F-4193-A119-9E546BB3B61A}" destId="{FB3F29FB-266C-47EB-AB4C-781422112660}" srcOrd="0" destOrd="0" presId="urn:microsoft.com/office/officeart/2005/8/layout/target2"/>
    <dgm:cxn modelId="{035515CD-44DD-F742-B1A8-A515DF8BA4A5}" type="presParOf" srcId="{9BDDB973-552F-4193-A119-9E546BB3B61A}" destId="{743192F2-9107-4832-8C6D-BE2D8EC25D62}" srcOrd="1" destOrd="0" presId="urn:microsoft.com/office/officeart/2005/8/layout/target2"/>
    <dgm:cxn modelId="{736BFE12-89AA-D94D-A73E-91D8BD18B4A0}" type="presParOf" srcId="{743192F2-9107-4832-8C6D-BE2D8EC25D62}" destId="{6A4D06C1-BD9F-4DD1-82D8-777EB34AE597}" srcOrd="0" destOrd="0" presId="urn:microsoft.com/office/officeart/2005/8/layout/target2"/>
    <dgm:cxn modelId="{392D6F24-3692-6843-913E-EBC522815C0B}" type="presParOf" srcId="{743192F2-9107-4832-8C6D-BE2D8EC25D62}" destId="{C5A75850-5595-4CC8-9BEF-F4BF10903C5A}" srcOrd="1" destOrd="0" presId="urn:microsoft.com/office/officeart/2005/8/layout/target2"/>
    <dgm:cxn modelId="{D2872E18-DBD7-654A-A34E-0B9190250BAA}" type="presParOf" srcId="{743192F2-9107-4832-8C6D-BE2D8EC25D62}" destId="{2B3144C1-D37A-4F8D-8323-53206149D53E}" srcOrd="2" destOrd="0" presId="urn:microsoft.com/office/officeart/2005/8/layout/target2"/>
    <dgm:cxn modelId="{8A36B0A4-D80C-C047-931F-FF9EBCEC9622}" type="presParOf" srcId="{743192F2-9107-4832-8C6D-BE2D8EC25D62}" destId="{9D46E300-04E9-4F62-8205-D0C9C76E7EF8}" srcOrd="3" destOrd="0" presId="urn:microsoft.com/office/officeart/2005/8/layout/target2"/>
    <dgm:cxn modelId="{FFF1A12F-9134-944F-AD93-56C6E8CE6B0B}" type="presParOf" srcId="{743192F2-9107-4832-8C6D-BE2D8EC25D62}" destId="{95752F1D-99C3-4097-90D3-6759AFAB1366}" srcOrd="4" destOrd="0" presId="urn:microsoft.com/office/officeart/2005/8/layout/target2"/>
    <dgm:cxn modelId="{3CD1F7AA-E83B-A84C-9836-07D534138CDB}" type="presParOf" srcId="{743192F2-9107-4832-8C6D-BE2D8EC25D62}" destId="{62C75C98-70E8-4B3A-A7DB-7DF7E3DF47D4}" srcOrd="5" destOrd="0" presId="urn:microsoft.com/office/officeart/2005/8/layout/target2"/>
    <dgm:cxn modelId="{FAED5EBB-DAAB-1444-925E-6C0DEE4CC66C}" type="presParOf" srcId="{743192F2-9107-4832-8C6D-BE2D8EC25D62}" destId="{BC193987-5DA4-44D4-99C2-498DF759F687}" srcOrd="6" destOrd="0" presId="urn:microsoft.com/office/officeart/2005/8/layout/target2"/>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D19574-B54C-4ABD-8F49-0B67F6519B33}">
      <dsp:nvSpPr>
        <dsp:cNvPr id="0" name=""/>
        <dsp:cNvSpPr/>
      </dsp:nvSpPr>
      <dsp:spPr>
        <a:xfrm rot="21300000">
          <a:off x="15300" y="1488557"/>
          <a:ext cx="4955285" cy="567454"/>
        </a:xfrm>
        <a:prstGeom prst="mathMinus">
          <a:avLst/>
        </a:prstGeom>
        <a:solidFill>
          <a:schemeClr val="accent3">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156F275-115E-467A-BF7E-20AEC35A703B}">
      <dsp:nvSpPr>
        <dsp:cNvPr id="0" name=""/>
        <dsp:cNvSpPr/>
      </dsp:nvSpPr>
      <dsp:spPr>
        <a:xfrm>
          <a:off x="598306" y="177228"/>
          <a:ext cx="1495765" cy="1417828"/>
        </a:xfrm>
        <a:prstGeom prst="downArrow">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77CC872-B779-4F57-BD04-2B57A84BE510}">
      <dsp:nvSpPr>
        <dsp:cNvPr id="0" name=""/>
        <dsp:cNvSpPr/>
      </dsp:nvSpPr>
      <dsp:spPr>
        <a:xfrm>
          <a:off x="2642519" y="0"/>
          <a:ext cx="1595483" cy="148871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US" sz="1600" kern="1200" dirty="0" smtClean="0">
              <a:latin typeface="Adobe Garamond Pro" panose="02020502060506020403" pitchFamily="18" charset="0"/>
            </a:rPr>
            <a:t>Predictability and Sustainability destabilized by Context</a:t>
          </a:r>
          <a:endParaRPr lang="en-US" sz="1600" kern="1200" dirty="0">
            <a:latin typeface="Adobe Garamond Pro" panose="02020502060506020403" pitchFamily="18" charset="0"/>
          </a:endParaRPr>
        </a:p>
      </dsp:txBody>
      <dsp:txXfrm>
        <a:off x="2642519" y="0"/>
        <a:ext cx="1595483" cy="1488719"/>
      </dsp:txXfrm>
    </dsp:sp>
    <dsp:sp modelId="{A6197E6C-984D-4ABE-8407-AB607B35551A}">
      <dsp:nvSpPr>
        <dsp:cNvPr id="0" name=""/>
        <dsp:cNvSpPr/>
      </dsp:nvSpPr>
      <dsp:spPr>
        <a:xfrm>
          <a:off x="2891813" y="1949513"/>
          <a:ext cx="1495765" cy="1417828"/>
        </a:xfrm>
        <a:prstGeom prst="upArrow">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8179F05-B720-4930-8E98-D34FF3403621}">
      <dsp:nvSpPr>
        <dsp:cNvPr id="0" name=""/>
        <dsp:cNvSpPr/>
      </dsp:nvSpPr>
      <dsp:spPr>
        <a:xfrm>
          <a:off x="747882" y="2055850"/>
          <a:ext cx="1595483" cy="148871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US" sz="1600" kern="1200" dirty="0" smtClean="0">
              <a:latin typeface="Adobe Garamond Pro" panose="02020502060506020403" pitchFamily="18" charset="0"/>
            </a:rPr>
            <a:t>Interconnected Teacher Education Systems Lack Coherence </a:t>
          </a:r>
          <a:endParaRPr lang="en-US" sz="1600" kern="1200" dirty="0">
            <a:latin typeface="Adobe Garamond Pro" panose="02020502060506020403" pitchFamily="18" charset="0"/>
          </a:endParaRPr>
        </a:p>
      </dsp:txBody>
      <dsp:txXfrm>
        <a:off x="747882" y="2055850"/>
        <a:ext cx="1595483" cy="148871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8A2066-5873-4C85-8703-9D9AB2944985}">
      <dsp:nvSpPr>
        <dsp:cNvPr id="0" name=""/>
        <dsp:cNvSpPr/>
      </dsp:nvSpPr>
      <dsp:spPr>
        <a:xfrm>
          <a:off x="0" y="0"/>
          <a:ext cx="2828925" cy="2828925"/>
        </a:xfrm>
        <a:prstGeom prst="pie">
          <a:avLst>
            <a:gd name="adj1" fmla="val 5400000"/>
            <a:gd name="adj2" fmla="val 1620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FA555E6-8D33-425B-A78A-4A6E32A96C94}">
      <dsp:nvSpPr>
        <dsp:cNvPr id="0" name=""/>
        <dsp:cNvSpPr/>
      </dsp:nvSpPr>
      <dsp:spPr>
        <a:xfrm>
          <a:off x="1414462" y="0"/>
          <a:ext cx="4433887" cy="2828925"/>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44780" tIns="144780" rIns="144780" bIns="144780" numCol="1" spcCol="1270" anchor="ctr" anchorCtr="0">
          <a:noAutofit/>
        </a:bodyPr>
        <a:lstStyle/>
        <a:p>
          <a:pPr lvl="0" algn="l" defTabSz="1689100">
            <a:lnSpc>
              <a:spcPct val="90000"/>
            </a:lnSpc>
            <a:spcBef>
              <a:spcPct val="0"/>
            </a:spcBef>
            <a:spcAft>
              <a:spcPct val="35000"/>
            </a:spcAft>
          </a:pPr>
          <a:r>
            <a:rPr lang="en-US" sz="3800" kern="1200">
              <a:latin typeface="Adobe Heiti Std R" panose="020B0400000000000000" pitchFamily="34" charset="-128"/>
              <a:ea typeface="Adobe Heiti Std R" panose="020B0400000000000000" pitchFamily="34" charset="-128"/>
              <a:cs typeface="+mn-cs"/>
            </a:rPr>
            <a:t>CAEP</a:t>
          </a:r>
        </a:p>
      </dsp:txBody>
      <dsp:txXfrm>
        <a:off x="1414462" y="0"/>
        <a:ext cx="2216943" cy="848679"/>
      </dsp:txXfrm>
    </dsp:sp>
    <dsp:sp modelId="{E664A4CA-1333-4663-AF6D-09B3439E33F4}">
      <dsp:nvSpPr>
        <dsp:cNvPr id="0" name=""/>
        <dsp:cNvSpPr/>
      </dsp:nvSpPr>
      <dsp:spPr>
        <a:xfrm>
          <a:off x="495062" y="848679"/>
          <a:ext cx="1838799" cy="1838799"/>
        </a:xfrm>
        <a:prstGeom prst="pie">
          <a:avLst>
            <a:gd name="adj1" fmla="val 5400000"/>
            <a:gd name="adj2" fmla="val 1620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B550CF4-1FB4-4804-81B9-E07A6D16FFAF}">
      <dsp:nvSpPr>
        <dsp:cNvPr id="0" name=""/>
        <dsp:cNvSpPr/>
      </dsp:nvSpPr>
      <dsp:spPr>
        <a:xfrm>
          <a:off x="1414462" y="848679"/>
          <a:ext cx="4433887" cy="1838799"/>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44780" tIns="144780" rIns="144780" bIns="144780" numCol="1" spcCol="1270" anchor="ctr" anchorCtr="0">
          <a:noAutofit/>
        </a:bodyPr>
        <a:lstStyle/>
        <a:p>
          <a:pPr lvl="0" algn="l" defTabSz="1689100">
            <a:lnSpc>
              <a:spcPct val="90000"/>
            </a:lnSpc>
            <a:spcBef>
              <a:spcPct val="0"/>
            </a:spcBef>
            <a:spcAft>
              <a:spcPct val="35000"/>
            </a:spcAft>
          </a:pPr>
          <a:r>
            <a:rPr lang="en-US" sz="3800" kern="1200">
              <a:latin typeface="Adobe Heiti Std R" panose="020B0400000000000000" pitchFamily="34" charset="-128"/>
              <a:ea typeface="Adobe Heiti Std R" panose="020B0400000000000000" pitchFamily="34" charset="-128"/>
              <a:cs typeface="+mn-cs"/>
            </a:rPr>
            <a:t>INTASC</a:t>
          </a:r>
        </a:p>
      </dsp:txBody>
      <dsp:txXfrm>
        <a:off x="1414462" y="848679"/>
        <a:ext cx="2216943" cy="848676"/>
      </dsp:txXfrm>
    </dsp:sp>
    <dsp:sp modelId="{78B17B67-2C52-4CAB-A907-FC77E1797217}">
      <dsp:nvSpPr>
        <dsp:cNvPr id="0" name=""/>
        <dsp:cNvSpPr/>
      </dsp:nvSpPr>
      <dsp:spPr>
        <a:xfrm>
          <a:off x="990124" y="1697355"/>
          <a:ext cx="848676" cy="848676"/>
        </a:xfrm>
        <a:prstGeom prst="pie">
          <a:avLst>
            <a:gd name="adj1" fmla="val 5400000"/>
            <a:gd name="adj2" fmla="val 1620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B6750B6-9294-46D0-8AC7-142B4CCA5FDB}">
      <dsp:nvSpPr>
        <dsp:cNvPr id="0" name=""/>
        <dsp:cNvSpPr/>
      </dsp:nvSpPr>
      <dsp:spPr>
        <a:xfrm>
          <a:off x="1414462" y="1697355"/>
          <a:ext cx="4433887" cy="848676"/>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44780" tIns="144780" rIns="144780" bIns="144780" numCol="1" spcCol="1270" anchor="ctr" anchorCtr="0">
          <a:noAutofit/>
        </a:bodyPr>
        <a:lstStyle/>
        <a:p>
          <a:pPr lvl="0" algn="l" defTabSz="1689100">
            <a:lnSpc>
              <a:spcPct val="90000"/>
            </a:lnSpc>
            <a:spcBef>
              <a:spcPct val="0"/>
            </a:spcBef>
            <a:spcAft>
              <a:spcPct val="35000"/>
            </a:spcAft>
          </a:pPr>
          <a:r>
            <a:rPr lang="en-US" sz="3800" kern="1200">
              <a:latin typeface="Adobe Heiti Std R" panose="020B0400000000000000" pitchFamily="34" charset="-128"/>
              <a:ea typeface="Adobe Heiti Std R" panose="020B0400000000000000" pitchFamily="34" charset="-128"/>
              <a:cs typeface="+mn-cs"/>
            </a:rPr>
            <a:t>CEC</a:t>
          </a:r>
        </a:p>
      </dsp:txBody>
      <dsp:txXfrm>
        <a:off x="1414462" y="1697355"/>
        <a:ext cx="2216943" cy="848676"/>
      </dsp:txXfrm>
    </dsp:sp>
    <dsp:sp modelId="{7536C33B-772C-464C-A77A-144012219128}">
      <dsp:nvSpPr>
        <dsp:cNvPr id="0" name=""/>
        <dsp:cNvSpPr/>
      </dsp:nvSpPr>
      <dsp:spPr>
        <a:xfrm>
          <a:off x="3631406" y="0"/>
          <a:ext cx="2216943" cy="84867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57150" lvl="1" indent="-57150" algn="l" defTabSz="355600">
            <a:lnSpc>
              <a:spcPct val="90000"/>
            </a:lnSpc>
            <a:spcBef>
              <a:spcPct val="0"/>
            </a:spcBef>
            <a:spcAft>
              <a:spcPct val="15000"/>
            </a:spcAft>
            <a:buChar char="••"/>
          </a:pPr>
          <a:r>
            <a:rPr lang="en-US" sz="800" kern="1200">
              <a:latin typeface="Adobe Heiti Std R" panose="020B0400000000000000" pitchFamily="34" charset="-128"/>
              <a:ea typeface="Adobe Heiti Std R" panose="020B0400000000000000" pitchFamily="34" charset="-128"/>
              <a:cs typeface="+mn-cs"/>
            </a:rPr>
            <a:t>Content and Pedagogical Knowledge</a:t>
          </a:r>
        </a:p>
        <a:p>
          <a:pPr marL="57150" lvl="1" indent="-57150" algn="l" defTabSz="355600">
            <a:lnSpc>
              <a:spcPct val="90000"/>
            </a:lnSpc>
            <a:spcBef>
              <a:spcPct val="0"/>
            </a:spcBef>
            <a:spcAft>
              <a:spcPct val="15000"/>
            </a:spcAft>
            <a:buChar char="••"/>
          </a:pPr>
          <a:r>
            <a:rPr lang="en-US" sz="800" kern="1200">
              <a:latin typeface="Adobe Heiti Std R" panose="020B0400000000000000" pitchFamily="34" charset="-128"/>
              <a:ea typeface="Adobe Heiti Std R" panose="020B0400000000000000" pitchFamily="34" charset="-128"/>
              <a:cs typeface="+mn-cs"/>
            </a:rPr>
            <a:t>Clinical Partnerships and Practice</a:t>
          </a:r>
        </a:p>
        <a:p>
          <a:pPr marL="57150" lvl="1" indent="-57150" algn="l" defTabSz="355600">
            <a:lnSpc>
              <a:spcPct val="90000"/>
            </a:lnSpc>
            <a:spcBef>
              <a:spcPct val="0"/>
            </a:spcBef>
            <a:spcAft>
              <a:spcPct val="15000"/>
            </a:spcAft>
            <a:buChar char="••"/>
          </a:pPr>
          <a:r>
            <a:rPr lang="en-US" sz="800" kern="1200">
              <a:latin typeface="Adobe Heiti Std R" panose="020B0400000000000000" pitchFamily="34" charset="-128"/>
              <a:ea typeface="Adobe Heiti Std R" panose="020B0400000000000000" pitchFamily="34" charset="-128"/>
              <a:cs typeface="+mn-cs"/>
            </a:rPr>
            <a:t>Candidate Quality, Recruitment, and Selectivity</a:t>
          </a:r>
        </a:p>
        <a:p>
          <a:pPr marL="57150" lvl="1" indent="-57150" algn="l" defTabSz="355600">
            <a:lnSpc>
              <a:spcPct val="90000"/>
            </a:lnSpc>
            <a:spcBef>
              <a:spcPct val="0"/>
            </a:spcBef>
            <a:spcAft>
              <a:spcPct val="15000"/>
            </a:spcAft>
            <a:buChar char="••"/>
          </a:pPr>
          <a:r>
            <a:rPr lang="en-US" sz="800" kern="1200">
              <a:latin typeface="Adobe Heiti Std R" panose="020B0400000000000000" pitchFamily="34" charset="-128"/>
              <a:ea typeface="Adobe Heiti Std R" panose="020B0400000000000000" pitchFamily="34" charset="-128"/>
              <a:cs typeface="+mn-cs"/>
            </a:rPr>
            <a:t>Program Impact</a:t>
          </a:r>
        </a:p>
        <a:p>
          <a:pPr marL="57150" lvl="1" indent="-57150" algn="l" defTabSz="355600">
            <a:lnSpc>
              <a:spcPct val="90000"/>
            </a:lnSpc>
            <a:spcBef>
              <a:spcPct val="0"/>
            </a:spcBef>
            <a:spcAft>
              <a:spcPct val="15000"/>
            </a:spcAft>
            <a:buChar char="••"/>
          </a:pPr>
          <a:r>
            <a:rPr lang="en-US" sz="800" kern="1200">
              <a:latin typeface="Adobe Heiti Std R" panose="020B0400000000000000" pitchFamily="34" charset="-128"/>
              <a:ea typeface="Adobe Heiti Std R" panose="020B0400000000000000" pitchFamily="34" charset="-128"/>
              <a:cs typeface="+mn-cs"/>
            </a:rPr>
            <a:t>Quality Assurance &amp; Continuous Improvement</a:t>
          </a:r>
        </a:p>
      </dsp:txBody>
      <dsp:txXfrm>
        <a:off x="3631406" y="0"/>
        <a:ext cx="2216943" cy="848679"/>
      </dsp:txXfrm>
    </dsp:sp>
    <dsp:sp modelId="{0E857AE9-F8AD-474A-B98A-7E37E2D15F63}">
      <dsp:nvSpPr>
        <dsp:cNvPr id="0" name=""/>
        <dsp:cNvSpPr/>
      </dsp:nvSpPr>
      <dsp:spPr>
        <a:xfrm>
          <a:off x="3631406" y="848679"/>
          <a:ext cx="2216943" cy="848676"/>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57150" lvl="1" indent="-57150" algn="l" defTabSz="355600">
            <a:lnSpc>
              <a:spcPct val="90000"/>
            </a:lnSpc>
            <a:spcBef>
              <a:spcPct val="0"/>
            </a:spcBef>
            <a:spcAft>
              <a:spcPct val="15000"/>
            </a:spcAft>
            <a:buChar char="••"/>
          </a:pPr>
          <a:r>
            <a:rPr lang="en-US" sz="800" kern="1200">
              <a:latin typeface="Adobe Heiti Std R" panose="020B0400000000000000" pitchFamily="34" charset="-128"/>
              <a:ea typeface="Adobe Heiti Std R" panose="020B0400000000000000" pitchFamily="34" charset="-128"/>
              <a:cs typeface="+mn-cs"/>
            </a:rPr>
            <a:t>Knowledge of Learner</a:t>
          </a:r>
        </a:p>
        <a:p>
          <a:pPr marL="57150" lvl="1" indent="-57150" algn="l" defTabSz="355600">
            <a:lnSpc>
              <a:spcPct val="90000"/>
            </a:lnSpc>
            <a:spcBef>
              <a:spcPct val="0"/>
            </a:spcBef>
            <a:spcAft>
              <a:spcPct val="15000"/>
            </a:spcAft>
            <a:buChar char="••"/>
          </a:pPr>
          <a:r>
            <a:rPr lang="en-US" sz="800" kern="1200">
              <a:latin typeface="Adobe Heiti Std R" panose="020B0400000000000000" pitchFamily="34" charset="-128"/>
              <a:ea typeface="Adobe Heiti Std R" panose="020B0400000000000000" pitchFamily="34" charset="-128"/>
              <a:cs typeface="+mn-cs"/>
            </a:rPr>
            <a:t>Content Knowledge</a:t>
          </a:r>
        </a:p>
        <a:p>
          <a:pPr marL="57150" lvl="1" indent="-57150" algn="l" defTabSz="355600">
            <a:lnSpc>
              <a:spcPct val="90000"/>
            </a:lnSpc>
            <a:spcBef>
              <a:spcPct val="0"/>
            </a:spcBef>
            <a:spcAft>
              <a:spcPct val="15000"/>
            </a:spcAft>
            <a:buChar char="••"/>
          </a:pPr>
          <a:r>
            <a:rPr lang="en-US" sz="800" kern="1200">
              <a:latin typeface="Adobe Heiti Std R" panose="020B0400000000000000" pitchFamily="34" charset="-128"/>
              <a:ea typeface="Adobe Heiti Std R" panose="020B0400000000000000" pitchFamily="34" charset="-128"/>
              <a:cs typeface="+mn-cs"/>
            </a:rPr>
            <a:t>Instructional Practice</a:t>
          </a:r>
        </a:p>
        <a:p>
          <a:pPr marL="57150" lvl="1" indent="-57150" algn="l" defTabSz="355600">
            <a:lnSpc>
              <a:spcPct val="90000"/>
            </a:lnSpc>
            <a:spcBef>
              <a:spcPct val="0"/>
            </a:spcBef>
            <a:spcAft>
              <a:spcPct val="15000"/>
            </a:spcAft>
            <a:buChar char="••"/>
          </a:pPr>
          <a:r>
            <a:rPr lang="en-US" sz="800" kern="1200">
              <a:latin typeface="Adobe Heiti Std R" panose="020B0400000000000000" pitchFamily="34" charset="-128"/>
              <a:ea typeface="Adobe Heiti Std R" panose="020B0400000000000000" pitchFamily="34" charset="-128"/>
              <a:cs typeface="+mn-cs"/>
            </a:rPr>
            <a:t>Professional Responsibility</a:t>
          </a:r>
        </a:p>
      </dsp:txBody>
      <dsp:txXfrm>
        <a:off x="3631406" y="848679"/>
        <a:ext cx="2216943" cy="848676"/>
      </dsp:txXfrm>
    </dsp:sp>
    <dsp:sp modelId="{4E4BBB8B-B4E8-4467-9024-79485D680A44}">
      <dsp:nvSpPr>
        <dsp:cNvPr id="0" name=""/>
        <dsp:cNvSpPr/>
      </dsp:nvSpPr>
      <dsp:spPr>
        <a:xfrm>
          <a:off x="3631406" y="1697355"/>
          <a:ext cx="2216943" cy="848676"/>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57150" lvl="1" indent="-57150" algn="l" defTabSz="355600">
            <a:lnSpc>
              <a:spcPct val="90000"/>
            </a:lnSpc>
            <a:spcBef>
              <a:spcPct val="0"/>
            </a:spcBef>
            <a:spcAft>
              <a:spcPct val="15000"/>
            </a:spcAft>
            <a:buChar char="••"/>
          </a:pPr>
          <a:r>
            <a:rPr lang="en-US" sz="800" kern="1200">
              <a:latin typeface="Adobe Heiti Std R" panose="020B0400000000000000" pitchFamily="34" charset="-128"/>
              <a:ea typeface="Adobe Heiti Std R" panose="020B0400000000000000" pitchFamily="34" charset="-128"/>
              <a:cs typeface="+mn-cs"/>
            </a:rPr>
            <a:t>Learner and Learning</a:t>
          </a:r>
        </a:p>
        <a:p>
          <a:pPr marL="57150" lvl="1" indent="-57150" algn="l" defTabSz="355600">
            <a:lnSpc>
              <a:spcPct val="90000"/>
            </a:lnSpc>
            <a:spcBef>
              <a:spcPct val="0"/>
            </a:spcBef>
            <a:spcAft>
              <a:spcPct val="15000"/>
            </a:spcAft>
            <a:buChar char="••"/>
          </a:pPr>
          <a:r>
            <a:rPr lang="en-US" sz="800" kern="1200">
              <a:latin typeface="Adobe Heiti Std R" panose="020B0400000000000000" pitchFamily="34" charset="-128"/>
              <a:ea typeface="Adobe Heiti Std R" panose="020B0400000000000000" pitchFamily="34" charset="-128"/>
              <a:cs typeface="+mn-cs"/>
            </a:rPr>
            <a:t>Content Knowledge and Professional Foundations</a:t>
          </a:r>
        </a:p>
        <a:p>
          <a:pPr marL="57150" lvl="1" indent="-57150" algn="l" defTabSz="355600">
            <a:lnSpc>
              <a:spcPct val="90000"/>
            </a:lnSpc>
            <a:spcBef>
              <a:spcPct val="0"/>
            </a:spcBef>
            <a:spcAft>
              <a:spcPct val="15000"/>
            </a:spcAft>
            <a:buChar char="••"/>
          </a:pPr>
          <a:r>
            <a:rPr lang="en-US" sz="800" kern="1200">
              <a:latin typeface="Adobe Heiti Std R" panose="020B0400000000000000" pitchFamily="34" charset="-128"/>
              <a:ea typeface="Adobe Heiti Std R" panose="020B0400000000000000" pitchFamily="34" charset="-128"/>
              <a:cs typeface="+mn-cs"/>
            </a:rPr>
            <a:t>Instructional Pedagogy</a:t>
          </a:r>
        </a:p>
        <a:p>
          <a:pPr marL="57150" lvl="1" indent="-57150" algn="l" defTabSz="355600">
            <a:lnSpc>
              <a:spcPct val="90000"/>
            </a:lnSpc>
            <a:spcBef>
              <a:spcPct val="0"/>
            </a:spcBef>
            <a:spcAft>
              <a:spcPct val="15000"/>
            </a:spcAft>
            <a:buChar char="••"/>
          </a:pPr>
          <a:r>
            <a:rPr lang="en-US" sz="800" kern="1200">
              <a:latin typeface="Adobe Heiti Std R" panose="020B0400000000000000" pitchFamily="34" charset="-128"/>
              <a:ea typeface="Adobe Heiti Std R" panose="020B0400000000000000" pitchFamily="34" charset="-128"/>
              <a:cs typeface="+mn-cs"/>
            </a:rPr>
            <a:t>Professionalism and Collaboration</a:t>
          </a:r>
        </a:p>
      </dsp:txBody>
      <dsp:txXfrm>
        <a:off x="3631406" y="1697355"/>
        <a:ext cx="2216943" cy="84867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E98F76-16FD-4337-A295-E32E9A16560D}">
      <dsp:nvSpPr>
        <dsp:cNvPr id="0" name=""/>
        <dsp:cNvSpPr/>
      </dsp:nvSpPr>
      <dsp:spPr>
        <a:xfrm>
          <a:off x="0" y="58109"/>
          <a:ext cx="3762375" cy="311805"/>
        </a:xfrm>
        <a:prstGeom prst="roundRect">
          <a:avLst/>
        </a:prstGeom>
        <a:solidFill>
          <a:schemeClr val="accent3">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en-US" sz="1300" kern="1200" dirty="0" smtClean="0"/>
            <a:t>Design to Improve All Student Learning in Schools.</a:t>
          </a:r>
          <a:endParaRPr lang="en-US" sz="1300" kern="1200" dirty="0"/>
        </a:p>
      </dsp:txBody>
      <dsp:txXfrm>
        <a:off x="15221" y="73330"/>
        <a:ext cx="3731933" cy="281363"/>
      </dsp:txXfrm>
    </dsp:sp>
    <dsp:sp modelId="{6D7F9F66-C54B-4FBF-A1B5-0BEC7F21D703}">
      <dsp:nvSpPr>
        <dsp:cNvPr id="0" name=""/>
        <dsp:cNvSpPr/>
      </dsp:nvSpPr>
      <dsp:spPr>
        <a:xfrm>
          <a:off x="0" y="407354"/>
          <a:ext cx="3762375" cy="311805"/>
        </a:xfrm>
        <a:prstGeom prst="roundRect">
          <a:avLst/>
        </a:prstGeom>
        <a:solidFill>
          <a:schemeClr val="accent3">
            <a:shade val="80000"/>
            <a:hueOff val="0"/>
            <a:satOff val="0"/>
            <a:lumOff val="272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en-US" sz="1300" kern="1200" dirty="0" smtClean="0"/>
            <a:t>Invest in Professional Educators.</a:t>
          </a:r>
          <a:endParaRPr lang="en-US" sz="1300" kern="1200" dirty="0"/>
        </a:p>
      </dsp:txBody>
      <dsp:txXfrm>
        <a:off x="15221" y="422575"/>
        <a:ext cx="3731933" cy="281363"/>
      </dsp:txXfrm>
    </dsp:sp>
    <dsp:sp modelId="{3A468975-5490-4F02-8F8B-D85F7B62111C}">
      <dsp:nvSpPr>
        <dsp:cNvPr id="0" name=""/>
        <dsp:cNvSpPr/>
      </dsp:nvSpPr>
      <dsp:spPr>
        <a:xfrm>
          <a:off x="0" y="756599"/>
          <a:ext cx="3762375" cy="311805"/>
        </a:xfrm>
        <a:prstGeom prst="roundRect">
          <a:avLst/>
        </a:prstGeom>
        <a:solidFill>
          <a:schemeClr val="accent3">
            <a:shade val="80000"/>
            <a:hueOff val="0"/>
            <a:satOff val="0"/>
            <a:lumOff val="545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en-US" sz="1300" kern="1200" dirty="0" smtClean="0"/>
            <a:t>Equip All  Practice Contexts.</a:t>
          </a:r>
          <a:endParaRPr lang="en-US" sz="1300" kern="1200" dirty="0"/>
        </a:p>
      </dsp:txBody>
      <dsp:txXfrm>
        <a:off x="15221" y="771820"/>
        <a:ext cx="3731933" cy="281363"/>
      </dsp:txXfrm>
    </dsp:sp>
    <dsp:sp modelId="{AD38B981-3DCD-4B91-8393-9FA70CCEEFBA}">
      <dsp:nvSpPr>
        <dsp:cNvPr id="0" name=""/>
        <dsp:cNvSpPr/>
      </dsp:nvSpPr>
      <dsp:spPr>
        <a:xfrm>
          <a:off x="0" y="1105844"/>
          <a:ext cx="3762375" cy="311805"/>
        </a:xfrm>
        <a:prstGeom prst="roundRect">
          <a:avLst/>
        </a:prstGeom>
        <a:solidFill>
          <a:schemeClr val="accent3">
            <a:shade val="80000"/>
            <a:hueOff val="0"/>
            <a:satOff val="0"/>
            <a:lumOff val="818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en-US" sz="1300" kern="1200" dirty="0" smtClean="0"/>
            <a:t>Design Schools with Multiple Tiers of Support.</a:t>
          </a:r>
          <a:endParaRPr lang="en-US" sz="1300" kern="1200" dirty="0"/>
        </a:p>
      </dsp:txBody>
      <dsp:txXfrm>
        <a:off x="15221" y="1121065"/>
        <a:ext cx="3731933" cy="281363"/>
      </dsp:txXfrm>
    </dsp:sp>
    <dsp:sp modelId="{98847A6F-AA41-4C35-A68D-177C2413B519}">
      <dsp:nvSpPr>
        <dsp:cNvPr id="0" name=""/>
        <dsp:cNvSpPr/>
      </dsp:nvSpPr>
      <dsp:spPr>
        <a:xfrm>
          <a:off x="0" y="1455089"/>
          <a:ext cx="3762375" cy="311805"/>
        </a:xfrm>
        <a:prstGeom prst="roundRect">
          <a:avLst/>
        </a:prstGeom>
        <a:solidFill>
          <a:schemeClr val="accent3">
            <a:shade val="80000"/>
            <a:hueOff val="0"/>
            <a:satOff val="0"/>
            <a:lumOff val="1091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en-US" sz="1300" kern="1200" dirty="0" smtClean="0"/>
            <a:t>Assess What is Taught.</a:t>
          </a:r>
          <a:endParaRPr lang="en-US" sz="1300" kern="1200" dirty="0"/>
        </a:p>
      </dsp:txBody>
      <dsp:txXfrm>
        <a:off x="15221" y="1470310"/>
        <a:ext cx="3731933" cy="281363"/>
      </dsp:txXfrm>
    </dsp:sp>
    <dsp:sp modelId="{37E5A79B-66AE-4C32-BFD9-DBFAE8A846B2}">
      <dsp:nvSpPr>
        <dsp:cNvPr id="0" name=""/>
        <dsp:cNvSpPr/>
      </dsp:nvSpPr>
      <dsp:spPr>
        <a:xfrm>
          <a:off x="0" y="1804335"/>
          <a:ext cx="3762375" cy="311805"/>
        </a:xfrm>
        <a:prstGeom prst="roundRect">
          <a:avLst/>
        </a:prstGeom>
        <a:solidFill>
          <a:schemeClr val="accent3">
            <a:shade val="80000"/>
            <a:hueOff val="0"/>
            <a:satOff val="0"/>
            <a:lumOff val="1363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en-US" sz="1300" kern="1200" dirty="0" smtClean="0"/>
            <a:t>Invest in Big Data.</a:t>
          </a:r>
          <a:endParaRPr lang="en-US" sz="1300" kern="1200" dirty="0"/>
        </a:p>
      </dsp:txBody>
      <dsp:txXfrm>
        <a:off x="15221" y="1819556"/>
        <a:ext cx="3731933" cy="281363"/>
      </dsp:txXfrm>
    </dsp:sp>
    <dsp:sp modelId="{A2068321-8101-472F-96D5-5C6329EF476E}">
      <dsp:nvSpPr>
        <dsp:cNvPr id="0" name=""/>
        <dsp:cNvSpPr/>
      </dsp:nvSpPr>
      <dsp:spPr>
        <a:xfrm>
          <a:off x="0" y="2153580"/>
          <a:ext cx="3762375" cy="311805"/>
        </a:xfrm>
        <a:prstGeom prst="roundRect">
          <a:avLst/>
        </a:prstGeom>
        <a:solidFill>
          <a:schemeClr val="accent3">
            <a:shade val="80000"/>
            <a:hueOff val="0"/>
            <a:satOff val="0"/>
            <a:lumOff val="163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en-US" sz="1300" kern="1200" dirty="0" smtClean="0"/>
            <a:t>Reward Effective Teacher Preparation.</a:t>
          </a:r>
          <a:endParaRPr lang="en-US" sz="1300" kern="1200" dirty="0"/>
        </a:p>
      </dsp:txBody>
      <dsp:txXfrm>
        <a:off x="15221" y="2168801"/>
        <a:ext cx="3731933" cy="281363"/>
      </dsp:txXfrm>
    </dsp:sp>
    <dsp:sp modelId="{62F1BE08-7B58-43D8-8723-BF725B836C58}">
      <dsp:nvSpPr>
        <dsp:cNvPr id="0" name=""/>
        <dsp:cNvSpPr/>
      </dsp:nvSpPr>
      <dsp:spPr>
        <a:xfrm>
          <a:off x="0" y="2502825"/>
          <a:ext cx="3762375" cy="311805"/>
        </a:xfrm>
        <a:prstGeom prst="roundRect">
          <a:avLst/>
        </a:prstGeom>
        <a:solidFill>
          <a:schemeClr val="accent3">
            <a:shade val="80000"/>
            <a:hueOff val="0"/>
            <a:satOff val="0"/>
            <a:lumOff val="1909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en-US" sz="1300" kern="1200" dirty="0" smtClean="0"/>
            <a:t>Educate with Diversity in Mind.</a:t>
          </a:r>
          <a:endParaRPr lang="en-US" sz="1300" kern="1200" dirty="0"/>
        </a:p>
      </dsp:txBody>
      <dsp:txXfrm>
        <a:off x="15221" y="2518046"/>
        <a:ext cx="3731933" cy="28136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1AD1F2-1A9D-41B8-9E08-C0B0BA7F0D71}">
      <dsp:nvSpPr>
        <dsp:cNvPr id="0" name=""/>
        <dsp:cNvSpPr/>
      </dsp:nvSpPr>
      <dsp:spPr>
        <a:xfrm>
          <a:off x="0" y="0"/>
          <a:ext cx="5486400" cy="3200400"/>
        </a:xfrm>
        <a:prstGeom prst="roundRect">
          <a:avLst>
            <a:gd name="adj" fmla="val 85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80010" rIns="80010" bIns="2483866" numCol="1" spcCol="1270" anchor="t" anchorCtr="0">
          <a:noAutofit/>
        </a:bodyPr>
        <a:lstStyle/>
        <a:p>
          <a:pPr lvl="0" algn="l" defTabSz="933450">
            <a:lnSpc>
              <a:spcPct val="90000"/>
            </a:lnSpc>
            <a:spcBef>
              <a:spcPct val="0"/>
            </a:spcBef>
            <a:spcAft>
              <a:spcPct val="35000"/>
            </a:spcAft>
          </a:pPr>
          <a:r>
            <a:rPr lang="en-US" sz="2100" kern="1200"/>
            <a:t>SEA Leadership for Effective Teacher Education </a:t>
          </a:r>
        </a:p>
      </dsp:txBody>
      <dsp:txXfrm>
        <a:off x="79676" y="79676"/>
        <a:ext cx="5327048" cy="3041048"/>
      </dsp:txXfrm>
    </dsp:sp>
    <dsp:sp modelId="{CDA86983-DF65-4F07-A0CE-98F09C315E76}">
      <dsp:nvSpPr>
        <dsp:cNvPr id="0" name=""/>
        <dsp:cNvSpPr/>
      </dsp:nvSpPr>
      <dsp:spPr>
        <a:xfrm>
          <a:off x="137160" y="800100"/>
          <a:ext cx="822960" cy="1099356"/>
        </a:xfrm>
        <a:prstGeom prst="roundRect">
          <a:avLst>
            <a:gd name="adj" fmla="val 105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Technical </a:t>
          </a:r>
        </a:p>
      </dsp:txBody>
      <dsp:txXfrm>
        <a:off x="162469" y="825409"/>
        <a:ext cx="772342" cy="1048738"/>
      </dsp:txXfrm>
    </dsp:sp>
    <dsp:sp modelId="{A0A13861-9FD0-43B5-BEA9-684C79A75CF5}">
      <dsp:nvSpPr>
        <dsp:cNvPr id="0" name=""/>
        <dsp:cNvSpPr/>
      </dsp:nvSpPr>
      <dsp:spPr>
        <a:xfrm>
          <a:off x="137160" y="1939840"/>
          <a:ext cx="822960" cy="1099356"/>
        </a:xfrm>
        <a:prstGeom prst="roundRect">
          <a:avLst>
            <a:gd name="adj" fmla="val 105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Adaptive</a:t>
          </a:r>
        </a:p>
      </dsp:txBody>
      <dsp:txXfrm>
        <a:off x="162469" y="1965149"/>
        <a:ext cx="772342" cy="1048738"/>
      </dsp:txXfrm>
    </dsp:sp>
    <dsp:sp modelId="{95372AB2-A451-4CBA-AF87-F6EAB0D24D27}">
      <dsp:nvSpPr>
        <dsp:cNvPr id="0" name=""/>
        <dsp:cNvSpPr/>
      </dsp:nvSpPr>
      <dsp:spPr>
        <a:xfrm>
          <a:off x="1097280" y="800100"/>
          <a:ext cx="4251960" cy="2240280"/>
        </a:xfrm>
        <a:prstGeom prst="roundRect">
          <a:avLst>
            <a:gd name="adj" fmla="val 105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80010" rIns="80010" bIns="1422578" numCol="1" spcCol="1270" anchor="t" anchorCtr="0">
          <a:noAutofit/>
        </a:bodyPr>
        <a:lstStyle/>
        <a:p>
          <a:pPr lvl="0" algn="l" defTabSz="933450">
            <a:lnSpc>
              <a:spcPct val="90000"/>
            </a:lnSpc>
            <a:spcBef>
              <a:spcPct val="0"/>
            </a:spcBef>
            <a:spcAft>
              <a:spcPct val="35000"/>
            </a:spcAft>
          </a:pPr>
          <a:r>
            <a:rPr lang="en-US" sz="2100" kern="1200"/>
            <a:t>Organizational Feedback</a:t>
          </a:r>
        </a:p>
      </dsp:txBody>
      <dsp:txXfrm>
        <a:off x="1166176" y="868996"/>
        <a:ext cx="4114168" cy="2102488"/>
      </dsp:txXfrm>
    </dsp:sp>
    <dsp:sp modelId="{D82C76BA-137C-46C3-849F-89329E8A31B7}">
      <dsp:nvSpPr>
        <dsp:cNvPr id="0" name=""/>
        <dsp:cNvSpPr/>
      </dsp:nvSpPr>
      <dsp:spPr>
        <a:xfrm>
          <a:off x="1203579" y="1584198"/>
          <a:ext cx="850392" cy="411356"/>
        </a:xfrm>
        <a:prstGeom prst="roundRect">
          <a:avLst>
            <a:gd name="adj" fmla="val 105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Decision Support Data System</a:t>
          </a:r>
        </a:p>
      </dsp:txBody>
      <dsp:txXfrm>
        <a:off x="1216230" y="1596849"/>
        <a:ext cx="825090" cy="386054"/>
      </dsp:txXfrm>
    </dsp:sp>
    <dsp:sp modelId="{22D0E563-0ED7-40F4-A61E-F6CA2C65D7A9}">
      <dsp:nvSpPr>
        <dsp:cNvPr id="0" name=""/>
        <dsp:cNvSpPr/>
      </dsp:nvSpPr>
      <dsp:spPr>
        <a:xfrm>
          <a:off x="1203579" y="2021834"/>
          <a:ext cx="850392" cy="411356"/>
        </a:xfrm>
        <a:prstGeom prst="roundRect">
          <a:avLst>
            <a:gd name="adj" fmla="val 105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Administrative Support Functions</a:t>
          </a:r>
        </a:p>
      </dsp:txBody>
      <dsp:txXfrm>
        <a:off x="1216230" y="2034485"/>
        <a:ext cx="825090" cy="386054"/>
      </dsp:txXfrm>
    </dsp:sp>
    <dsp:sp modelId="{8F710991-B9BB-440E-A73D-9061E8F4066C}">
      <dsp:nvSpPr>
        <dsp:cNvPr id="0" name=""/>
        <dsp:cNvSpPr/>
      </dsp:nvSpPr>
      <dsp:spPr>
        <a:xfrm>
          <a:off x="1203579" y="2459470"/>
          <a:ext cx="850392" cy="411356"/>
        </a:xfrm>
        <a:prstGeom prst="roundRect">
          <a:avLst>
            <a:gd name="adj" fmla="val 105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Systems Improvement</a:t>
          </a:r>
        </a:p>
      </dsp:txBody>
      <dsp:txXfrm>
        <a:off x="1216230" y="2472121"/>
        <a:ext cx="825090" cy="386054"/>
      </dsp:txXfrm>
    </dsp:sp>
    <dsp:sp modelId="{FB3F29FB-266C-47EB-AB4C-781422112660}">
      <dsp:nvSpPr>
        <dsp:cNvPr id="0" name=""/>
        <dsp:cNvSpPr/>
      </dsp:nvSpPr>
      <dsp:spPr>
        <a:xfrm>
          <a:off x="2167128" y="1600200"/>
          <a:ext cx="3044952" cy="1280160"/>
        </a:xfrm>
        <a:prstGeom prst="roundRect">
          <a:avLst>
            <a:gd name="adj" fmla="val 105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80010" rIns="80010" bIns="722579" numCol="1" spcCol="1270" anchor="t" anchorCtr="0">
          <a:noAutofit/>
        </a:bodyPr>
        <a:lstStyle/>
        <a:p>
          <a:pPr lvl="0" algn="l" defTabSz="933450">
            <a:lnSpc>
              <a:spcPct val="90000"/>
            </a:lnSpc>
            <a:spcBef>
              <a:spcPct val="0"/>
            </a:spcBef>
            <a:spcAft>
              <a:spcPct val="35000"/>
            </a:spcAft>
          </a:pPr>
          <a:r>
            <a:rPr lang="en-US" sz="2100" kern="1200"/>
            <a:t>Personnel</a:t>
          </a:r>
        </a:p>
      </dsp:txBody>
      <dsp:txXfrm>
        <a:off x="2206497" y="1639569"/>
        <a:ext cx="2966214" cy="1201422"/>
      </dsp:txXfrm>
    </dsp:sp>
    <dsp:sp modelId="{6A4D06C1-BD9F-4DD1-82D8-777EB34AE597}">
      <dsp:nvSpPr>
        <dsp:cNvPr id="0" name=""/>
        <dsp:cNvSpPr/>
      </dsp:nvSpPr>
      <dsp:spPr>
        <a:xfrm>
          <a:off x="2243251" y="2176272"/>
          <a:ext cx="707639" cy="576072"/>
        </a:xfrm>
        <a:prstGeom prst="roundRect">
          <a:avLst>
            <a:gd name="adj" fmla="val 105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Who</a:t>
          </a:r>
        </a:p>
      </dsp:txBody>
      <dsp:txXfrm>
        <a:off x="2260967" y="2193988"/>
        <a:ext cx="672207" cy="540640"/>
      </dsp:txXfrm>
    </dsp:sp>
    <dsp:sp modelId="{2B3144C1-D37A-4F8D-8323-53206149D53E}">
      <dsp:nvSpPr>
        <dsp:cNvPr id="0" name=""/>
        <dsp:cNvSpPr/>
      </dsp:nvSpPr>
      <dsp:spPr>
        <a:xfrm>
          <a:off x="2971022" y="2176272"/>
          <a:ext cx="707639" cy="576072"/>
        </a:xfrm>
        <a:prstGeom prst="roundRect">
          <a:avLst>
            <a:gd name="adj" fmla="val 105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How</a:t>
          </a:r>
        </a:p>
      </dsp:txBody>
      <dsp:txXfrm>
        <a:off x="2988738" y="2193988"/>
        <a:ext cx="672207" cy="540640"/>
      </dsp:txXfrm>
    </dsp:sp>
    <dsp:sp modelId="{95752F1D-99C3-4097-90D3-6759AFAB1366}">
      <dsp:nvSpPr>
        <dsp:cNvPr id="0" name=""/>
        <dsp:cNvSpPr/>
      </dsp:nvSpPr>
      <dsp:spPr>
        <a:xfrm>
          <a:off x="3698793" y="2176272"/>
          <a:ext cx="707639" cy="576072"/>
        </a:xfrm>
        <a:prstGeom prst="roundRect">
          <a:avLst>
            <a:gd name="adj" fmla="val 105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What</a:t>
          </a:r>
        </a:p>
      </dsp:txBody>
      <dsp:txXfrm>
        <a:off x="3716509" y="2193988"/>
        <a:ext cx="672207" cy="540640"/>
      </dsp:txXfrm>
    </dsp:sp>
    <dsp:sp modelId="{BC193987-5DA4-44D4-99C2-498DF759F687}">
      <dsp:nvSpPr>
        <dsp:cNvPr id="0" name=""/>
        <dsp:cNvSpPr/>
      </dsp:nvSpPr>
      <dsp:spPr>
        <a:xfrm>
          <a:off x="4426565" y="2176272"/>
          <a:ext cx="707639" cy="576072"/>
        </a:xfrm>
        <a:prstGeom prst="roundRect">
          <a:avLst>
            <a:gd name="adj" fmla="val 105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Outcomes</a:t>
          </a:r>
        </a:p>
      </dsp:txBody>
      <dsp:txXfrm>
        <a:off x="4444281" y="2193988"/>
        <a:ext cx="672207" cy="540640"/>
      </dsp:txXfrm>
    </dsp:sp>
  </dsp:spTree>
</dsp:drawing>
</file>

<file path=word/diagrams/layout1.xml><?xml version="1.0" encoding="utf-8"?>
<dgm:layoutDef xmlns:dgm="http://schemas.openxmlformats.org/drawingml/2006/diagram" xmlns:a="http://schemas.openxmlformats.org/drawingml/2006/main" uniqueId="urn:microsoft.com/office/officeart/2005/8/layout/arrow3">
  <dgm:title val=""/>
  <dgm:desc val=""/>
  <dgm:catLst>
    <dgm:cat type="relationship" pri="5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Lst>
      <dgm:cxnLst>
        <dgm:cxn modelId="3" srcId="0" destId="1" srcOrd="0" destOrd="0"/>
        <dgm:cxn modelId="4" srcId="0" destId="2" srcOrd="1" destOrd="0"/>
      </dgm:cxnLst>
      <dgm:bg/>
      <dgm:whole/>
    </dgm:dataModel>
  </dgm:clrData>
  <dgm:layoutNode name="compositeShape">
    <dgm:varLst>
      <dgm:chMax val="2"/>
      <dgm:dir/>
      <dgm:resizeHandles val="exact"/>
    </dgm:varLst>
    <dgm:alg type="composite">
      <dgm:param type="horzAlign" val="none"/>
      <dgm:param type="vertAlign" val="none"/>
    </dgm:alg>
    <dgm:shape xmlns:r="http://schemas.openxmlformats.org/officeDocument/2006/relationships" r:blip="">
      <dgm:adjLst/>
    </dgm:shape>
    <dgm:presOf/>
    <dgm:choose name="Name0">
      <dgm:if name="Name1" func="var" arg="dir" op="equ" val="norm">
        <dgm:choose name="Name2">
          <dgm:if name="Name3" axis="ch" ptType="node" func="cnt" op="gte" val="2">
            <dgm:constrLst>
              <dgm:constr type="w" for="ch" forName="divider" refType="w"/>
              <dgm:constr type="h" for="ch" forName="divider" refType="w" fact="0.2"/>
              <dgm:constr type="h" for="ch" forName="divider" refType="h" op="gte" fact="0.2"/>
              <dgm:constr type="h" for="ch" forName="divider" refType="h" op="lte" fact="0.4"/>
              <dgm:constr type="ctrX" for="ch" forName="divider" refType="w" fact="0.5"/>
              <dgm:constr type="ctrY" for="ch" forName="divider" refType="h" fact="0.5"/>
              <dgm:constr type="w" for="ch" forName="downArrow" refType="w" fact="0.3"/>
              <dgm:constr type="h" for="ch" forName="downArrow" refType="h" fact="0.4"/>
              <dgm:constr type="l" for="ch" forName="downArrow" refType="w" fact="0.1"/>
              <dgm:constr type="t" for="ch" forName="downArrow" refType="h" fact="0.05"/>
              <dgm:constr type="lOff" for="ch" forName="downArrow" refType="w" fact="0.02"/>
              <dgm:constr type="w" for="ch" forName="downArrowText" refType="w" fact="0.32"/>
              <dgm:constr type="h" for="ch" forName="downArrowText" refType="h" fact="0.42"/>
              <dgm:constr type="t" for="ch" forName="downArrowText"/>
              <dgm:constr type="r" for="ch" forName="downArrowText" refType="w" fact="0.85"/>
              <dgm:constr type="w" for="ch" forName="upArrow" refType="w" fact="0.3"/>
              <dgm:constr type="h" for="ch" forName="upArrow" refType="h" fact="0.4"/>
              <dgm:constr type="b" for="ch" forName="upArrow" refType="h" fact="0.95"/>
              <dgm:constr type="r" for="ch" forName="upArrow" refType="w" fact="0.9"/>
              <dgm:constr type="rOff" for="ch" forName="upArrow" refType="w" fact="-0.02"/>
              <dgm:constr type="w" for="ch" forName="upArrowText" refType="w" fact="0.32"/>
              <dgm:constr type="h" for="ch" forName="upArrowText" refType="h" fact="0.42"/>
              <dgm:constr type="b" for="ch" forName="upArrowText" refType="h"/>
              <dgm:constr type="l" for="ch" forName="upArrowText" refType="w" fact="0.15"/>
              <dgm:constr type="primFontSz" for="ch" ptType="node" op="equ" val="65"/>
            </dgm:constrLst>
          </dgm:if>
          <dgm:else name="Name4">
            <dgm:constrLst>
              <dgm:constr type="w" for="ch" forName="downArrow" refType="w" fact="0.4"/>
              <dgm:constr type="h" for="ch" forName="downArrow" refType="h" fact="0.8"/>
              <dgm:constr type="l" for="ch" forName="downArrow" refType="w" fact="0.02"/>
              <dgm:constr type="t" for="ch" forName="downArrow" refType="h" fact="0.05"/>
              <dgm:constr type="lOff" for="ch" forName="downArrow" refType="w" fact="0.02"/>
              <dgm:constr type="w" for="ch" forName="downArrowText" refType="w" fact="0.5"/>
              <dgm:constr type="h" for="ch" forName="downArrowText" refType="h"/>
              <dgm:constr type="t" for="ch" forName="downArrowText"/>
              <dgm:constr type="r" for="ch" forName="downArrowText" refType="w"/>
              <dgm:constr type="primFontSz" for="ch" ptType="node" op="equ" val="65"/>
            </dgm:constrLst>
          </dgm:else>
        </dgm:choose>
      </dgm:if>
      <dgm:else name="Name5">
        <dgm:choose name="Name6">
          <dgm:if name="Name7" axis="ch" ptType="node" func="cnt" op="gte" val="2">
            <dgm:constrLst>
              <dgm:constr type="w" for="ch" forName="divider" refType="w"/>
              <dgm:constr type="h" for="ch" forName="divider" refType="w" fact="0.2"/>
              <dgm:constr type="h" for="ch" forName="divider" refType="h" op="gte" fact="0.2"/>
              <dgm:constr type="h" for="ch" forName="divider" refType="h" op="lte" fact="0.4"/>
              <dgm:constr type="ctrX" for="ch" forName="divider" refType="w" fact="0.5"/>
              <dgm:constr type="ctrY" for="ch" forName="divider" refType="h" fact="0.5"/>
              <dgm:constr type="w" for="ch" forName="downArrow" refType="w" fact="0.3"/>
              <dgm:constr type="h" for="ch" forName="downArrow" refType="h" fact="0.4"/>
              <dgm:constr type="r" for="ch" forName="downArrow" refType="w" fact="0.9"/>
              <dgm:constr type="t" for="ch" forName="downArrow" refType="h" fact="0.05"/>
              <dgm:constr type="rOff" for="ch" forName="downArrow" refType="w" fact="-0.02"/>
              <dgm:constr type="w" for="ch" forName="downArrowText" refType="w" fact="0.32"/>
              <dgm:constr type="h" for="ch" forName="downArrowText" refType="h" fact="0.42"/>
              <dgm:constr type="t" for="ch" forName="downArrowText"/>
              <dgm:constr type="l" for="ch" forName="downArrowText" refType="w" fact="0.15"/>
              <dgm:constr type="w" for="ch" forName="upArrow" refType="w" fact="0.3"/>
              <dgm:constr type="h" for="ch" forName="upArrow" refType="h" fact="0.4"/>
              <dgm:constr type="b" for="ch" forName="upArrow" refType="h" fact="0.95"/>
              <dgm:constr type="l" for="ch" forName="upArrow" refType="w" fact="0.1"/>
              <dgm:constr type="lOff" for="ch" forName="upArrow" refType="w" fact="0.02"/>
              <dgm:constr type="w" for="ch" forName="upArrowText" refType="w" fact="0.32"/>
              <dgm:constr type="h" for="ch" forName="upArrowText" refType="h" fact="0.42"/>
              <dgm:constr type="b" for="ch" forName="upArrowText" refType="h"/>
              <dgm:constr type="r" for="ch" forName="upArrowText" refType="w" fact="0.85"/>
              <dgm:constr type="primFontSz" for="ch" ptType="node" op="equ" val="65"/>
            </dgm:constrLst>
          </dgm:if>
          <dgm:else name="Name8">
            <dgm:constrLst>
              <dgm:constr type="w" for="ch" forName="downArrow" refType="w" fact="0.4"/>
              <dgm:constr type="h" for="ch" forName="downArrow" refType="h" fact="0.8"/>
              <dgm:constr type="r" for="ch" forName="downArrow" refType="w" fact="0.98"/>
              <dgm:constr type="t" for="ch" forName="downArrow" refType="h" fact="0.05"/>
              <dgm:constr type="rOff" for="ch" forName="downArrow" refType="w" fact="-0.02"/>
              <dgm:constr type="w" for="ch" forName="downArrowText" refType="w" fact="0.5"/>
              <dgm:constr type="h" for="ch" forName="downArrowText" refType="h"/>
              <dgm:constr type="t" for="ch" forName="downArrowText"/>
              <dgm:constr type="l" for="ch" forName="downArrowText"/>
              <dgm:constr type="primFontSz" for="ch" ptType="node" op="equ" val="65"/>
            </dgm:constrLst>
          </dgm:else>
        </dgm:choose>
      </dgm:else>
    </dgm:choose>
    <dgm:ruleLst/>
    <dgm:choose name="Name9">
      <dgm:if name="Name10" axis="ch" ptType="node" func="cnt" op="gte" val="2">
        <dgm:layoutNode name="divider" styleLbl="fgShp">
          <dgm:alg type="sp"/>
          <dgm:choose name="Name11">
            <dgm:if name="Name12" func="var" arg="dir" op="equ" val="norm">
              <dgm:shape xmlns:r="http://schemas.openxmlformats.org/officeDocument/2006/relationships" rot="-5" type="mathMinus" r:blip="">
                <dgm:adjLst/>
              </dgm:shape>
            </dgm:if>
            <dgm:else name="Name13">
              <dgm:shape xmlns:r="http://schemas.openxmlformats.org/officeDocument/2006/relationships" rot="5" type="mathMinus" r:blip="">
                <dgm:adjLst/>
              </dgm:shape>
            </dgm:else>
          </dgm:choose>
          <dgm:presOf/>
          <dgm:constrLst/>
          <dgm:ruleLst/>
        </dgm:layoutNode>
      </dgm:if>
      <dgm:else name="Name14"/>
    </dgm:choose>
    <dgm:forEach name="Name15" axis="ch" ptType="node" cnt="1">
      <dgm:layoutNode name="downArrow" styleLbl="node1">
        <dgm:alg type="sp"/>
        <dgm:shape xmlns:r="http://schemas.openxmlformats.org/officeDocument/2006/relationships" type="downArrow" r:blip="">
          <dgm:adjLst/>
        </dgm:shape>
        <dgm:presOf/>
        <dgm:constrLst/>
        <dgm:ruleLst/>
      </dgm:layoutNode>
      <dgm:layoutNode name="downArrowText" styleLbl="revTx">
        <dgm:varLst>
          <dgm:bulletEnabled val="1"/>
        </dgm:varLst>
        <dgm:alg type="tx">
          <dgm:param type="txAnchorVertCh" val="mid"/>
        </dgm:alg>
        <dgm:shape xmlns:r="http://schemas.openxmlformats.org/officeDocument/2006/relationships" type="rect" r:blip="">
          <dgm:adjLst/>
        </dgm:shape>
        <dgm:presOf axis="desOrSelf" ptType="node"/>
        <dgm:constrLst/>
        <dgm:ruleLst>
          <dgm:rule type="primFontSz" val="5" fact="NaN" max="NaN"/>
        </dgm:ruleLst>
      </dgm:layoutNode>
    </dgm:forEach>
    <dgm:forEach name="Name16" axis="ch" ptType="node" st="2" cnt="1">
      <dgm:layoutNode name="upArrow" styleLbl="node1">
        <dgm:alg type="sp"/>
        <dgm:shape xmlns:r="http://schemas.openxmlformats.org/officeDocument/2006/relationships" type="upArrow" r:blip="">
          <dgm:adjLst/>
        </dgm:shape>
        <dgm:presOf/>
        <dgm:constrLst/>
        <dgm:ruleLst/>
      </dgm:layoutNode>
      <dgm:layoutNode name="upArrowText" styleLbl="revTx">
        <dgm:varLst>
          <dgm:bulletEnabled val="1"/>
        </dgm:varLst>
        <dgm:alg type="tx">
          <dgm:param type="txAnchorVertCh" val="mid"/>
        </dgm:alg>
        <dgm:shape xmlns:r="http://schemas.openxmlformats.org/officeDocument/2006/relationships" type="rect" r:blip="">
          <dgm:adjLst/>
        </dgm:shape>
        <dgm:presOf axis="desOrSelf" ptType="node"/>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target2">
  <dgm:title val=""/>
  <dgm:desc val=""/>
  <dgm:catLst>
    <dgm:cat type="relationship"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chMax val="3"/>
      <dgm:chPref val="1"/>
      <dgm:dir/>
      <dgm:animLvl val="lvl"/>
      <dgm:resizeHandles/>
    </dgm:varLst>
    <dgm:alg type="composite">
      <dgm:param type="horzAlign" val="none"/>
      <dgm:param type="vertAlign" val="none"/>
    </dgm:alg>
    <dgm:shape xmlns:r="http://schemas.openxmlformats.org/officeDocument/2006/relationships" r:blip="">
      <dgm:adjLst/>
    </dgm:shape>
    <dgm:presOf/>
    <dgm:choose name="Name1">
      <dgm:if name="Name2" func="var" arg="dir" op="equ" val="norm">
        <dgm:choose name="Name3">
          <dgm:if name="Name4" axis="ch ch" ptType="node node" st="1 1" cnt="1 0" func="cnt" op="gt" val="0">
            <dgm:choose name="Name5">
              <dgm:if name="Name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395"/>
                  <dgm:constr type="t" for="ch" forName="centerBox" refType="h" fact="0.5"/>
                  <dgm:constr type="w" for="ch" forName="centerBox" refType="w" fact="0.555"/>
                  <dgm:constr type="h" for="ch" forName="centerBox" refType="h" fact="0.4"/>
                  <dgm:constr type="userA" for="des" forName="outerSibTrans" refType="w"/>
                  <dgm:constr type="userA" for="des" forName="middleSibTrans" refType="w"/>
                  <dgm:constr type="userA" for="des" forName="centerSibTrans" refType="w"/>
                </dgm:constrLst>
              </dgm:if>
              <dgm:else name="Name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22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8">
            <dgm:choose name="Name9">
              <dgm:if name="Name1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26"/>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1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if>
      <dgm:else name="Name12">
        <dgm:choose name="Name13">
          <dgm:if name="Name14" axis="ch ch" ptType="node node" st="1 1" cnt="1 0" func="cnt" op="gt" val="0">
            <dgm:choose name="Name15">
              <dgm:if name="Name1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55"/>
                  <dgm:constr type="h" for="ch" forName="centerBox" refType="h" fact="0.4"/>
                  <dgm:constr type="userA" for="des" forName="outerSibTrans" refType="w"/>
                  <dgm:constr type="userA" for="des" forName="middleSibTrans" refType="w"/>
                  <dgm:constr type="userA" for="des" forName="centerSibTrans" refType="w"/>
                </dgm:constrLst>
              </dgm:if>
              <dgm:else name="Name1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18">
            <dgm:choose name="Name19">
              <dgm:if name="Name2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2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else>
    </dgm:choose>
    <dgm:ruleLst/>
    <dgm:choose name="Name22">
      <dgm:if name="Name23" axis="root ch" ptType="all node" st="1 1" cnt="0 0" func="cnt" op="gte" val="1">
        <dgm:layoutNode name="outerBox" styleLbl="node1">
          <dgm:alg type="composite">
            <dgm:param type="horzAlign" val="none"/>
            <dgm:param type="vertAlign" val="none"/>
          </dgm:alg>
          <dgm:shape xmlns:r="http://schemas.openxmlformats.org/officeDocument/2006/relationships" r:blip="">
            <dgm:adjLst/>
          </dgm:shape>
          <dgm:presOf/>
          <dgm:choose name="Name24">
            <dgm:if name="Name25" axis="root ch" ptType="all node" st="1 1" cnt="0 0" func="cnt" op="gt" val="1">
              <dgm:choose name="Name26">
                <dgm:if name="Name27" func="var" arg="dir" op="equ" val="norm">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025"/>
                    <dgm:constr type="t" for="ch" forName="outerBoxChildren" refType="h" fact="0.25"/>
                    <dgm:constr type="w" for="ch" forName="outerBoxChildren" refType="w" fact="0.15"/>
                    <dgm:constr type="h" for="ch" forName="outerBoxChildren" refType="h" fact="0.7"/>
                  </dgm:constrLst>
                </dgm:if>
                <dgm:else name="Name28">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825"/>
                    <dgm:constr type="t" for="ch" forName="outerBoxChildren" refType="h" fact="0.25"/>
                    <dgm:constr type="w" for="ch" forName="outerBoxChildren" refType="w" fact="0.15"/>
                    <dgm:constr type="h" for="ch" forName="outerBoxChildren" refType="h" fact="0.7"/>
                  </dgm:constrLst>
                </dgm:else>
              </dgm:choose>
            </dgm:if>
            <dgm:else name="Name29">
              <dgm:constrLst>
                <dgm:constr type="l" for="ch" forName="outerBoxParent"/>
                <dgm:constr type="t" for="ch" forName="outerBoxParent"/>
                <dgm:constr type="w" for="ch" forName="outerBoxParent" refType="w"/>
                <dgm:constr type="h" for="ch" forName="outerBoxParent" refType="h"/>
                <dgm:constr type="bMarg" for="ch" forName="outerBoxParent" refType="h" fact="1.75"/>
                <dgm:constr type="l" for="ch" forName="outerBoxChildren" refType="w" fact="0.025"/>
                <dgm:constr type="t" for="ch" forName="outerBoxChildren" refType="h" fact="0.45"/>
                <dgm:constr type="w" for="ch" forName="outerBoxChildren" refType="w" fact="0.95"/>
                <dgm:constr type="h" for="ch" forName="outerBoxChildren" refType="h" fact="0.45"/>
              </dgm:constrLst>
            </dgm:else>
          </dgm:choose>
          <dgm:ruleLst/>
          <dgm:layoutNode name="outerBoxParent" styleLbl="node1">
            <dgm:alg type="tx">
              <dgm:param type="txAnchorVert" val="t"/>
              <dgm:param type="parTxLTRAlign" val="l"/>
              <dgm:param type="parTxRTLAlign" val="r"/>
            </dgm:alg>
            <dgm:shape xmlns:r="http://schemas.openxmlformats.org/officeDocument/2006/relationships" type="roundRect" r:blip="">
              <dgm:adjLst>
                <dgm:adj idx="1" val="0.085"/>
              </dgm:adjLst>
            </dgm:shape>
            <dgm:presOf axis="ch" ptType="node" cnt="1"/>
            <dgm:constrLst>
              <dgm:constr type="tMarg" refType="primFontSz" fact="0.3"/>
              <dgm:constr type="lMarg" refType="primFontSz" fact="0.3"/>
              <dgm:constr type="rMarg" refType="primFontSz" fact="0.3"/>
            </dgm:constrLst>
            <dgm:ruleLst>
              <dgm:rule type="primFontSz" val="5" fact="NaN" max="NaN"/>
            </dgm:ruleLst>
          </dgm:layoutNode>
          <dgm:layoutNode name="outerBoxChildren">
            <dgm:choose name="Name30">
              <dgm:if name="Name31" axis="root ch" ptType="all node" st="1 1" cnt="0 0" func="cnt" op="gt" val="1">
                <dgm:alg type="lin">
                  <dgm:param type="linDir" val="fromT"/>
                  <dgm:param type="vertAlign" val="t"/>
                </dgm:alg>
              </dgm:if>
              <dgm:else name="Name32">
                <dgm:choose name="Name33">
                  <dgm:if name="Name34" func="var" arg="dir" op="equ" val="norm">
                    <dgm:alg type="lin">
                      <dgm:param type="horzAlign" val="l"/>
                    </dgm:alg>
                  </dgm:if>
                  <dgm:else name="Name35">
                    <dgm:alg type="lin">
                      <dgm:param type="linDir" val="fromR"/>
                      <dgm:param type="horzAlign" val="r"/>
                    </dgm:alg>
                  </dgm:else>
                </dgm:choose>
              </dgm:else>
            </dgm:choose>
            <dgm:shape xmlns:r="http://schemas.openxmlformats.org/officeDocument/2006/relationships" r:blip="">
              <dgm:adjLst/>
            </dgm:shape>
            <dgm:presOf/>
            <dgm:constrLst>
              <dgm:constr type="w" for="ch" forName="oChild" refType="w"/>
              <dgm:constr type="h" for="ch" forName="oChild" refType="h"/>
            </dgm:constrLst>
            <dgm:ruleLst/>
            <dgm:forEach name="Name36" axis="ch ch" ptType="node node" st="1 1" cnt="1 0">
              <dgm:layoutNode name="o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37" axis="followSib" ptType="sibTrans" cnt="1">
                <dgm:layoutNode name="ou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38"/>
    </dgm:choose>
    <dgm:choose name="Name39">
      <dgm:if name="Name40" axis="root ch" ptType="all node" st="1 1" cnt="0 0" func="cnt" op="gte" val="2">
        <dgm:layoutNode name="middleBox">
          <dgm:alg type="composite">
            <dgm:param type="horzAlign" val="none"/>
            <dgm:param type="vertAlign" val="none"/>
          </dgm:alg>
          <dgm:shape xmlns:r="http://schemas.openxmlformats.org/officeDocument/2006/relationships" r:blip="">
            <dgm:adjLst/>
          </dgm:shape>
          <dgm:presOf/>
          <dgm:choose name="Name41">
            <dgm:if name="Name42" axis="root ch" ptType="all node" st="1 1" cnt="0 0" func="cnt" op="gt" val="2">
              <dgm:choose name="Name43">
                <dgm:if name="Name44" func="var" arg="dir" op="equ" val="norm">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35"/>
                    <dgm:constr type="w" for="ch" forName="middleBoxChildren" refType="w" fact="0.2"/>
                    <dgm:constr type="h" for="ch" forName="middleBoxChildren" refType="h" fact="0.575"/>
                  </dgm:constrLst>
                </dgm:if>
                <dgm:else name="Name45">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775"/>
                    <dgm:constr type="t" for="ch" forName="middleBoxChildren" refType="h" fact="0.35"/>
                    <dgm:constr type="w" for="ch" forName="middleBoxChildren" refType="w" fact="0.2"/>
                    <dgm:constr type="h" for="ch" forName="middleBoxChildren" refType="h" fact="0.575"/>
                  </dgm:constrLst>
                </dgm:else>
              </dgm:choose>
            </dgm:if>
            <dgm:else name="Name46">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45"/>
                <dgm:constr type="w" for="ch" forName="middleBoxChildren" refType="w" fact="0.95"/>
                <dgm:constr type="h" for="ch" forName="middleBoxChildren" refType="h" fact="0.45"/>
              </dgm:constrLst>
            </dgm:else>
          </dgm:choose>
          <dgm:ruleLst/>
          <dgm:layoutNode name="middle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2" cnt="1"/>
            <dgm:constrLst>
              <dgm:constr type="tMarg" refType="primFontSz" fact="0.3"/>
              <dgm:constr type="lMarg" refType="primFontSz" fact="0.3"/>
              <dgm:constr type="rMarg" refType="primFontSz" fact="0.3"/>
            </dgm:constrLst>
            <dgm:ruleLst>
              <dgm:rule type="primFontSz" val="5" fact="NaN" max="NaN"/>
            </dgm:ruleLst>
          </dgm:layoutNode>
          <dgm:layoutNode name="middleBoxChildren">
            <dgm:choose name="Name47">
              <dgm:if name="Name48" axis="root ch" ptType="all node" st="1 1" cnt="0 0" func="cnt" op="gt" val="2">
                <dgm:alg type="lin">
                  <dgm:param type="linDir" val="fromT"/>
                  <dgm:param type="vertAlign" val="t"/>
                </dgm:alg>
              </dgm:if>
              <dgm:else name="Name49">
                <dgm:choose name="Name50">
                  <dgm:if name="Name51" func="var" arg="dir" op="equ" val="norm">
                    <dgm:alg type="lin">
                      <dgm:param type="horzAlign" val="l"/>
                    </dgm:alg>
                  </dgm:if>
                  <dgm:else name="Name52">
                    <dgm:alg type="lin">
                      <dgm:param type="linDir" val="fromR"/>
                      <dgm:param type="horzAlign" val="r"/>
                    </dgm:alg>
                  </dgm:else>
                </dgm:choose>
              </dgm:else>
            </dgm:choose>
            <dgm:shape xmlns:r="http://schemas.openxmlformats.org/officeDocument/2006/relationships" r:blip="">
              <dgm:adjLst/>
            </dgm:shape>
            <dgm:presOf/>
            <dgm:constrLst>
              <dgm:constr type="w" for="ch" forName="mChild" refType="w"/>
              <dgm:constr type="h" for="ch" forName="mChild" refType="h"/>
            </dgm:constrLst>
            <dgm:ruleLst/>
            <dgm:forEach name="Name53" axis="ch ch" ptType="node node" st="2 1" cnt="1 0">
              <dgm:layoutNode name="m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54" axis="followSib" ptType="sibTrans" cnt="1">
                <dgm:layoutNode name="middle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55"/>
    </dgm:choose>
    <dgm:choose name="Name56">
      <dgm:if name="Name57" axis="root ch" ptType="all node" st="1 1" cnt="0 0" func="cnt" op="gte" val="3">
        <dgm:layoutNode name="centerBox">
          <dgm:alg type="composite">
            <dgm:param type="horzAlign" val="none"/>
            <dgm:param type="vertAlign" val="none"/>
          </dgm:alg>
          <dgm:shape xmlns:r="http://schemas.openxmlformats.org/officeDocument/2006/relationships" r:blip="">
            <dgm:adjLst/>
          </dgm:shape>
          <dgm:presOf/>
          <dgm:choose name="Name58">
            <dgm:if name="Name59" axis="ch ch" ptType="node node" st="3 1" cnt="1 0" func="cnt" op="gt" val="0">
              <dgm:constrLst>
                <dgm:constr type="l" for="ch" forName="centerBoxParent"/>
                <dgm:constr type="t" for="ch" forName="centerBoxParent"/>
                <dgm:constr type="w" for="ch" forName="centerBoxParent" refType="w"/>
                <dgm:constr type="h" for="ch" forName="centerBoxParent" refType="h"/>
                <dgm:constr type="bMarg" for="ch" forName="centerBoxParent" refType="h" fact="1.6"/>
                <dgm:constr type="l" for="ch" forName="centerBoxChildren" refType="w" fact="0.025"/>
                <dgm:constr type="t" for="ch" forName="centerBoxChildren" refType="h" fact="0.45"/>
                <dgm:constr type="w" for="ch" forName="centerBoxChildren" refType="w" fact="0.95"/>
                <dgm:constr type="h" for="ch" forName="centerBoxChildren" refType="h" fact="0.45"/>
              </dgm:constrLst>
            </dgm:if>
            <dgm:else name="Name60">
              <dgm:constrLst>
                <dgm:constr type="l" for="ch" forName="centerBoxParent"/>
                <dgm:constr type="t" for="ch" forName="centerBoxParent"/>
                <dgm:constr type="w" for="ch" forName="centerBoxParent" refType="w"/>
                <dgm:constr type="h" for="ch" forName="centerBoxParent" refType="h"/>
              </dgm:constrLst>
            </dgm:else>
          </dgm:choose>
          <dgm:ruleLst/>
          <dgm:layoutNode name="center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3" cnt="1"/>
            <dgm:constrLst>
              <dgm:constr type="tMarg" refType="primFontSz" fact="0.3"/>
              <dgm:constr type="lMarg" refType="primFontSz" fact="0.3"/>
              <dgm:constr type="rMarg" refType="primFontSz" fact="0.3"/>
            </dgm:constrLst>
            <dgm:ruleLst>
              <dgm:rule type="primFontSz" val="5" fact="NaN" max="NaN"/>
            </dgm:ruleLst>
          </dgm:layoutNode>
          <dgm:choose name="Name61">
            <dgm:if name="Name62" axis="ch ch" ptType="node node" st="3 1" cnt="1 0" func="cnt" op="gt" val="0">
              <dgm:layoutNode name="centerBoxChildren">
                <dgm:choose name="Name63">
                  <dgm:if name="Name64" func="var" arg="dir" op="equ" val="norm">
                    <dgm:alg type="lin">
                      <dgm:param type="horzAlign" val="l"/>
                    </dgm:alg>
                  </dgm:if>
                  <dgm:else name="Name65">
                    <dgm:alg type="lin">
                      <dgm:param type="linDir" val="fromR"/>
                      <dgm:param type="horzAlign" val="r"/>
                    </dgm:alg>
                  </dgm:else>
                </dgm:choose>
                <dgm:shape xmlns:r="http://schemas.openxmlformats.org/officeDocument/2006/relationships" r:blip="">
                  <dgm:adjLst/>
                </dgm:shape>
                <dgm:presOf/>
                <dgm:constrLst>
                  <dgm:constr type="w" for="ch" forName="cChild" refType="w"/>
                  <dgm:constr type="h" for="ch" forName="cChild" refType="h"/>
                </dgm:constrLst>
                <dgm:ruleLst/>
                <dgm:forEach name="Name66" axis="ch ch" ptType="node node" st="3 1" cnt="1 0">
                  <dgm:layoutNode name="c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67" axis="followSib" ptType="sibTrans" cnt="1">
                    <dgm:layoutNode name="cen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if>
            <dgm:else name="Name68"/>
          </dgm:choose>
        </dgm:layoutNode>
      </dgm:if>
      <dgm:else name="Name6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1066F-33F6-204C-9E50-AC95455D6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19897</Words>
  <Characters>113413</Characters>
  <Application>Microsoft Macintosh Word</Application>
  <DocSecurity>0</DocSecurity>
  <Lines>945</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2016-04-18T19:21:00Z</dcterms:created>
  <dcterms:modified xsi:type="dcterms:W3CDTF">2016-04-18T21:28:00Z</dcterms:modified>
</cp:coreProperties>
</file>