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B7E0C" w14:textId="77777777" w:rsidR="00E93CA5" w:rsidRDefault="00E93CA5" w:rsidP="00A605CF">
      <w:pPr>
        <w:spacing w:line="480" w:lineRule="auto"/>
        <w:jc w:val="center"/>
      </w:pPr>
    </w:p>
    <w:p w14:paraId="191ED998" w14:textId="77777777" w:rsidR="00E93CA5" w:rsidRDefault="00E93CA5" w:rsidP="00A605CF">
      <w:pPr>
        <w:spacing w:line="480" w:lineRule="auto"/>
        <w:jc w:val="center"/>
      </w:pPr>
    </w:p>
    <w:p w14:paraId="4F8E6AF8" w14:textId="77777777" w:rsidR="00E93CA5" w:rsidRDefault="00E93CA5" w:rsidP="00A605CF">
      <w:pPr>
        <w:spacing w:line="480" w:lineRule="auto"/>
        <w:jc w:val="center"/>
      </w:pPr>
    </w:p>
    <w:p w14:paraId="25AA8243" w14:textId="77777777" w:rsidR="00E93CA5" w:rsidRDefault="00E93CA5" w:rsidP="00A605CF">
      <w:pPr>
        <w:spacing w:line="480" w:lineRule="auto"/>
        <w:jc w:val="center"/>
      </w:pPr>
    </w:p>
    <w:p w14:paraId="195419D6" w14:textId="77777777" w:rsidR="00E93CA5" w:rsidRDefault="00E93CA5" w:rsidP="00A605CF">
      <w:pPr>
        <w:spacing w:line="480" w:lineRule="auto"/>
        <w:jc w:val="center"/>
      </w:pPr>
    </w:p>
    <w:p w14:paraId="4A6FE3E2" w14:textId="1CEFE611" w:rsidR="00E93CA5" w:rsidRDefault="00ED1A21" w:rsidP="00A605CF">
      <w:pPr>
        <w:spacing w:line="480" w:lineRule="auto"/>
        <w:jc w:val="center"/>
      </w:pPr>
      <w:r>
        <w:t>Towards a Practice-</w:t>
      </w:r>
      <w:r w:rsidR="00E93CA5">
        <w:t>Based Teacher Preparation Approach in Special Education</w:t>
      </w:r>
    </w:p>
    <w:p w14:paraId="39CCBB67" w14:textId="24241F25" w:rsidR="00C32DAC" w:rsidRDefault="00C32DAC" w:rsidP="00A605CF">
      <w:pPr>
        <w:spacing w:line="480" w:lineRule="auto"/>
        <w:jc w:val="center"/>
      </w:pPr>
      <w:r>
        <w:t>Molly Baustien Siuty</w:t>
      </w:r>
    </w:p>
    <w:p w14:paraId="3046B896" w14:textId="4E3EA226" w:rsidR="00C32DAC" w:rsidRDefault="00C32DAC" w:rsidP="00A605CF">
      <w:pPr>
        <w:spacing w:line="480" w:lineRule="auto"/>
        <w:jc w:val="center"/>
      </w:pPr>
      <w:r>
        <w:t>Kimberly M. Knackstedt</w:t>
      </w:r>
    </w:p>
    <w:p w14:paraId="18CBA151" w14:textId="274F28EA" w:rsidR="00C32DAC" w:rsidRDefault="00C32DAC" w:rsidP="00A605CF">
      <w:pPr>
        <w:spacing w:line="480" w:lineRule="auto"/>
        <w:jc w:val="center"/>
      </w:pPr>
      <w:r>
        <w:t>Margaret R. Beneke</w:t>
      </w:r>
    </w:p>
    <w:p w14:paraId="3D45515D" w14:textId="27B8F79F" w:rsidR="00C32DAC" w:rsidRDefault="00C32DAC" w:rsidP="00A605CF">
      <w:pPr>
        <w:spacing w:line="480" w:lineRule="auto"/>
        <w:jc w:val="center"/>
      </w:pPr>
      <w:r>
        <w:t>Stephanie Mahal</w:t>
      </w:r>
    </w:p>
    <w:p w14:paraId="3B64DE82" w14:textId="6D753340" w:rsidR="00C32DAC" w:rsidRDefault="00C32DAC" w:rsidP="00A605CF">
      <w:pPr>
        <w:spacing w:line="480" w:lineRule="auto"/>
        <w:jc w:val="center"/>
      </w:pPr>
      <w:r>
        <w:t xml:space="preserve">Jingrong </w:t>
      </w:r>
      <w:proofErr w:type="spellStart"/>
      <w:r>
        <w:t>Xie</w:t>
      </w:r>
      <w:proofErr w:type="spellEnd"/>
    </w:p>
    <w:p w14:paraId="5E7423CE" w14:textId="288E8FE5" w:rsidR="00C32DAC" w:rsidRDefault="00C32DAC" w:rsidP="00A605CF">
      <w:pPr>
        <w:spacing w:line="480" w:lineRule="auto"/>
        <w:jc w:val="center"/>
      </w:pPr>
      <w:r>
        <w:t>University of Kansas</w:t>
      </w:r>
    </w:p>
    <w:p w14:paraId="2B2F5785" w14:textId="77777777" w:rsidR="00E93CA5" w:rsidRDefault="00E93CA5" w:rsidP="00A605CF">
      <w:pPr>
        <w:spacing w:line="480" w:lineRule="auto"/>
        <w:jc w:val="center"/>
      </w:pPr>
    </w:p>
    <w:p w14:paraId="523D55E4" w14:textId="77777777" w:rsidR="00E93CA5" w:rsidRDefault="00E93CA5" w:rsidP="00A605CF">
      <w:pPr>
        <w:spacing w:line="480" w:lineRule="auto"/>
        <w:jc w:val="center"/>
      </w:pPr>
    </w:p>
    <w:p w14:paraId="1614FE19" w14:textId="77777777" w:rsidR="00E93CA5" w:rsidRDefault="00E93CA5" w:rsidP="00A605CF">
      <w:pPr>
        <w:spacing w:line="480" w:lineRule="auto"/>
        <w:jc w:val="center"/>
      </w:pPr>
    </w:p>
    <w:p w14:paraId="3E64B8A2" w14:textId="77777777" w:rsidR="00E93CA5" w:rsidRDefault="00E93CA5" w:rsidP="00A605CF">
      <w:pPr>
        <w:spacing w:line="480" w:lineRule="auto"/>
        <w:jc w:val="center"/>
      </w:pPr>
    </w:p>
    <w:p w14:paraId="390BF77E" w14:textId="77777777" w:rsidR="00E93CA5" w:rsidRDefault="00E93CA5" w:rsidP="00A605CF">
      <w:pPr>
        <w:spacing w:line="480" w:lineRule="auto"/>
        <w:jc w:val="center"/>
      </w:pPr>
    </w:p>
    <w:p w14:paraId="1B22720B" w14:textId="77777777" w:rsidR="00E93CA5" w:rsidRDefault="00E93CA5" w:rsidP="00A605CF">
      <w:pPr>
        <w:spacing w:line="480" w:lineRule="auto"/>
        <w:jc w:val="center"/>
      </w:pPr>
    </w:p>
    <w:p w14:paraId="137DDE99" w14:textId="77777777" w:rsidR="00E93CA5" w:rsidRDefault="00E93CA5" w:rsidP="00A605CF">
      <w:pPr>
        <w:spacing w:line="480" w:lineRule="auto"/>
        <w:jc w:val="center"/>
      </w:pPr>
    </w:p>
    <w:p w14:paraId="5ED15BD0" w14:textId="77777777" w:rsidR="00E93CA5" w:rsidRDefault="00E93CA5" w:rsidP="00A605CF">
      <w:pPr>
        <w:spacing w:line="480" w:lineRule="auto"/>
        <w:jc w:val="center"/>
      </w:pPr>
    </w:p>
    <w:p w14:paraId="20BC184D" w14:textId="77777777" w:rsidR="00E93CA5" w:rsidRDefault="00E93CA5" w:rsidP="00A605CF">
      <w:pPr>
        <w:spacing w:line="480" w:lineRule="auto"/>
        <w:jc w:val="center"/>
      </w:pPr>
    </w:p>
    <w:p w14:paraId="6AFCFE5D" w14:textId="77777777" w:rsidR="00E93CA5" w:rsidRDefault="00E93CA5" w:rsidP="00A605CF">
      <w:pPr>
        <w:spacing w:line="480" w:lineRule="auto"/>
        <w:jc w:val="center"/>
      </w:pPr>
    </w:p>
    <w:p w14:paraId="01A43157" w14:textId="77777777" w:rsidR="00E93CA5" w:rsidRDefault="00E93CA5" w:rsidP="00C32DAC">
      <w:pPr>
        <w:spacing w:line="480" w:lineRule="auto"/>
      </w:pPr>
      <w:bookmarkStart w:id="0" w:name="_GoBack"/>
      <w:bookmarkEnd w:id="0"/>
    </w:p>
    <w:p w14:paraId="4DC94A12" w14:textId="77777777" w:rsidR="00A605CF" w:rsidRDefault="00A605CF" w:rsidP="007D70C0">
      <w:pPr>
        <w:spacing w:line="480" w:lineRule="auto"/>
        <w:jc w:val="center"/>
      </w:pPr>
      <w:r>
        <w:lastRenderedPageBreak/>
        <w:t>Abstract</w:t>
      </w:r>
    </w:p>
    <w:p w14:paraId="533A10C6" w14:textId="256AA697" w:rsidR="00A91AA1" w:rsidRDefault="00A91AA1" w:rsidP="00A91AA1">
      <w:pPr>
        <w:spacing w:line="480" w:lineRule="auto"/>
        <w:ind w:firstLine="720"/>
      </w:pPr>
      <w:r>
        <w:t>R</w:t>
      </w:r>
      <w:r w:rsidRPr="001E27CF">
        <w:t xml:space="preserve">ecent research demonstrates that teachers who graduate from education programs with </w:t>
      </w:r>
      <w:r w:rsidR="00A34105">
        <w:t>a robust</w:t>
      </w:r>
      <w:r w:rsidRPr="001E27CF">
        <w:t xml:space="preserve">, mentored, practice component produce better learning outcomes for their students than teachers </w:t>
      </w:r>
      <w:r>
        <w:t>who do not</w:t>
      </w:r>
      <w:r w:rsidR="0033012E">
        <w:t>.</w:t>
      </w:r>
      <w:r>
        <w:t xml:space="preserve"> In this paper, we examine one approach to </w:t>
      </w:r>
      <w:r w:rsidR="00ED1A21">
        <w:t>practice-</w:t>
      </w:r>
      <w:r w:rsidR="00252508">
        <w:t>based teacher preparation (PBTP)</w:t>
      </w:r>
      <w:r>
        <w:t xml:space="preserve"> within an introductory course on disability and special education for pre-service general education teachers. We seek to expand the research base by employing the constructs of Opportunities to Learn (OTL) and the flipped classroom as a means to increase opportunities for practice within teacher preparation. Moreover, we will use these constructs within an overarching framework for inclusive education. </w:t>
      </w:r>
      <w:r w:rsidR="00252508">
        <w:t xml:space="preserve">Implications for PBTP </w:t>
      </w:r>
      <w:r w:rsidR="00DE7AF8">
        <w:t>within</w:t>
      </w:r>
      <w:r w:rsidR="00252508">
        <w:t xml:space="preserve"> special education </w:t>
      </w:r>
      <w:r w:rsidR="00767983">
        <w:t>will be discussed.</w:t>
      </w:r>
    </w:p>
    <w:p w14:paraId="25DCB264" w14:textId="58572146" w:rsidR="00A605CF" w:rsidRDefault="00A605CF" w:rsidP="00A605CF">
      <w:pPr>
        <w:spacing w:line="480" w:lineRule="auto"/>
        <w:ind w:firstLine="720"/>
        <w:rPr>
          <w:i/>
        </w:rPr>
      </w:pPr>
      <w:r w:rsidRPr="00D61B64">
        <w:rPr>
          <w:i/>
        </w:rPr>
        <w:t>Keywords:</w:t>
      </w:r>
      <w:r w:rsidR="007D7B88">
        <w:rPr>
          <w:i/>
        </w:rPr>
        <w:t xml:space="preserve"> practice-based teacher preparation,</w:t>
      </w:r>
      <w:r w:rsidRPr="00D61B64">
        <w:rPr>
          <w:i/>
        </w:rPr>
        <w:t xml:space="preserve"> flipped cl</w:t>
      </w:r>
      <w:r>
        <w:rPr>
          <w:i/>
        </w:rPr>
        <w:t>assroom,</w:t>
      </w:r>
      <w:r w:rsidR="00E53386">
        <w:rPr>
          <w:i/>
        </w:rPr>
        <w:t xml:space="preserve"> special education</w:t>
      </w:r>
      <w:r>
        <w:rPr>
          <w:i/>
        </w:rPr>
        <w:t>, pre</w:t>
      </w:r>
      <w:r w:rsidR="00334DCA">
        <w:rPr>
          <w:i/>
        </w:rPr>
        <w:t>-</w:t>
      </w:r>
      <w:r w:rsidRPr="00D61B64">
        <w:rPr>
          <w:i/>
        </w:rPr>
        <w:t>service teacher attitudes, inclusion</w:t>
      </w:r>
    </w:p>
    <w:p w14:paraId="1EB4723C" w14:textId="77777777" w:rsidR="00A605CF" w:rsidRDefault="00A605CF" w:rsidP="00A605CF">
      <w:pPr>
        <w:spacing w:line="480" w:lineRule="auto"/>
        <w:jc w:val="center"/>
      </w:pPr>
    </w:p>
    <w:p w14:paraId="0B8F1B5A" w14:textId="77777777" w:rsidR="00A605CF" w:rsidRDefault="00A605CF" w:rsidP="00A605CF">
      <w:pPr>
        <w:spacing w:line="480" w:lineRule="auto"/>
        <w:jc w:val="center"/>
      </w:pPr>
    </w:p>
    <w:p w14:paraId="0C18FDFA" w14:textId="77777777" w:rsidR="00A605CF" w:rsidRDefault="00A605CF" w:rsidP="00A605CF">
      <w:pPr>
        <w:spacing w:line="480" w:lineRule="auto"/>
        <w:jc w:val="center"/>
      </w:pPr>
    </w:p>
    <w:p w14:paraId="35D40EBA" w14:textId="77777777" w:rsidR="00A605CF" w:rsidRDefault="00A605CF" w:rsidP="00A605CF">
      <w:pPr>
        <w:spacing w:line="480" w:lineRule="auto"/>
        <w:jc w:val="center"/>
      </w:pPr>
    </w:p>
    <w:p w14:paraId="2345C42C" w14:textId="77777777" w:rsidR="00A605CF" w:rsidRDefault="00A605CF" w:rsidP="00A605CF">
      <w:pPr>
        <w:spacing w:line="480" w:lineRule="auto"/>
        <w:jc w:val="center"/>
      </w:pPr>
    </w:p>
    <w:p w14:paraId="46839437" w14:textId="77777777" w:rsidR="00A605CF" w:rsidRDefault="00A605CF" w:rsidP="00A605CF">
      <w:pPr>
        <w:spacing w:line="480" w:lineRule="auto"/>
        <w:jc w:val="center"/>
      </w:pPr>
    </w:p>
    <w:p w14:paraId="40D9DFB7" w14:textId="77777777" w:rsidR="00A605CF" w:rsidRDefault="00A605CF" w:rsidP="00A605CF">
      <w:pPr>
        <w:spacing w:line="480" w:lineRule="auto"/>
        <w:jc w:val="center"/>
      </w:pPr>
    </w:p>
    <w:p w14:paraId="0168523D" w14:textId="77777777" w:rsidR="00A605CF" w:rsidRDefault="00A605CF" w:rsidP="00A605CF">
      <w:pPr>
        <w:spacing w:line="480" w:lineRule="auto"/>
        <w:jc w:val="center"/>
      </w:pPr>
    </w:p>
    <w:p w14:paraId="1A27B113" w14:textId="77777777" w:rsidR="00A605CF" w:rsidRDefault="00A605CF" w:rsidP="00A605CF">
      <w:pPr>
        <w:spacing w:line="480" w:lineRule="auto"/>
        <w:jc w:val="center"/>
      </w:pPr>
    </w:p>
    <w:p w14:paraId="7FC0E13E" w14:textId="77777777" w:rsidR="00A605CF" w:rsidRDefault="00A605CF" w:rsidP="00A605CF">
      <w:pPr>
        <w:spacing w:line="480" w:lineRule="auto"/>
        <w:rPr>
          <w:b/>
        </w:rPr>
      </w:pPr>
      <w:r>
        <w:rPr>
          <w:b/>
        </w:rPr>
        <w:tab/>
      </w:r>
    </w:p>
    <w:p w14:paraId="2F88524B" w14:textId="77777777" w:rsidR="00F1713E" w:rsidRDefault="00F1713E" w:rsidP="00704118">
      <w:pPr>
        <w:spacing w:line="480" w:lineRule="auto"/>
      </w:pPr>
    </w:p>
    <w:p w14:paraId="646AEE6F" w14:textId="754A106E" w:rsidR="002578FD" w:rsidRPr="00B94016" w:rsidRDefault="002578FD" w:rsidP="00E13EC2">
      <w:pPr>
        <w:spacing w:line="480" w:lineRule="auto"/>
        <w:ind w:firstLine="720"/>
        <w:jc w:val="center"/>
      </w:pPr>
      <w:r w:rsidRPr="00B94016">
        <w:lastRenderedPageBreak/>
        <w:t>Towards a Practice Based Teacher Preparation Approach in Special Education</w:t>
      </w:r>
    </w:p>
    <w:p w14:paraId="0FDEB6CA" w14:textId="0232D2DA" w:rsidR="00C62E1C" w:rsidRDefault="003B0D9F" w:rsidP="006A59F4">
      <w:pPr>
        <w:spacing w:line="480" w:lineRule="auto"/>
        <w:ind w:firstLine="720"/>
      </w:pPr>
      <w:r>
        <w:t xml:space="preserve">Scholars in the area of teacher education advocate for </w:t>
      </w:r>
      <w:r w:rsidR="00490095">
        <w:t>centering</w:t>
      </w:r>
      <w:r>
        <w:t xml:space="preserve"> practice </w:t>
      </w:r>
      <w:r w:rsidR="00490095">
        <w:t xml:space="preserve">at </w:t>
      </w:r>
      <w:r>
        <w:t>the core of teacher preparation (</w:t>
      </w:r>
      <w:r w:rsidRPr="00EF0BA5">
        <w:t>Ball &amp; Forzani,</w:t>
      </w:r>
      <w:r w:rsidR="00DA757F" w:rsidRPr="00EF0BA5">
        <w:t xml:space="preserve"> </w:t>
      </w:r>
      <w:r w:rsidRPr="00EF0BA5">
        <w:t xml:space="preserve">2009; </w:t>
      </w:r>
      <w:r w:rsidR="00EF0BA5" w:rsidRPr="00EF0BA5">
        <w:t>Grossman, Compton, Igra, Ronfeldt, Shahan, &amp; Williamson, 2009; Lampert</w:t>
      </w:r>
      <w:r w:rsidR="00365FF7">
        <w:t xml:space="preserve"> et al.</w:t>
      </w:r>
      <w:r w:rsidR="00EF0BA5" w:rsidRPr="00EF0BA5">
        <w:t xml:space="preserve">, 2013; </w:t>
      </w:r>
      <w:r w:rsidR="005B464A" w:rsidRPr="00EF0BA5">
        <w:t xml:space="preserve">McDonald, Kazemi, &amp; Kavanagh, 2013; </w:t>
      </w:r>
      <w:r w:rsidR="00EF0BA5" w:rsidRPr="00EF0BA5">
        <w:t xml:space="preserve">Pella; 2015; </w:t>
      </w:r>
      <w:r w:rsidR="005B464A" w:rsidRPr="00EF0BA5">
        <w:t>Reid, 2011</w:t>
      </w:r>
      <w:r>
        <w:t>)</w:t>
      </w:r>
      <w:r w:rsidR="00DF7ABC">
        <w:t>.</w:t>
      </w:r>
      <w:r w:rsidR="00FF3CF2">
        <w:t xml:space="preserve"> </w:t>
      </w:r>
      <w:r>
        <w:t>Rather than a singular approach, practice-based teacher preparation</w:t>
      </w:r>
      <w:r w:rsidR="00FF3CF2">
        <w:t xml:space="preserve"> (PBTP)</w:t>
      </w:r>
      <w:r>
        <w:t xml:space="preserve"> encompasses a wide number of instructional </w:t>
      </w:r>
      <w:r w:rsidR="0012320C">
        <w:t xml:space="preserve">designs </w:t>
      </w:r>
      <w:r>
        <w:t xml:space="preserve">such as lesson study teams, book study, </w:t>
      </w:r>
      <w:r w:rsidR="001E1894">
        <w:t xml:space="preserve">or </w:t>
      </w:r>
      <w:r>
        <w:t>school-based pr</w:t>
      </w:r>
      <w:r w:rsidR="00CD2495">
        <w:t>ofessional learning communities</w:t>
      </w:r>
      <w:r>
        <w:t xml:space="preserve"> (</w:t>
      </w:r>
      <w:r w:rsidRPr="009B4A12">
        <w:t>Pella, 2015</w:t>
      </w:r>
      <w:r>
        <w:t xml:space="preserve">). However, </w:t>
      </w:r>
      <w:r w:rsidR="00474226">
        <w:t xml:space="preserve">the common thread around </w:t>
      </w:r>
      <w:r w:rsidR="00FF3CF2">
        <w:t>PBTP</w:t>
      </w:r>
      <w:r w:rsidR="00474226">
        <w:t xml:space="preserve"> is a “systematic focus on developing teacher cand</w:t>
      </w:r>
      <w:r w:rsidR="00173E98">
        <w:t>id</w:t>
      </w:r>
      <w:r w:rsidR="00474226">
        <w:t>ates’ abilities to successfully enact high-leverage practices” (Zeichner</w:t>
      </w:r>
      <w:r w:rsidR="00090AC7">
        <w:t>, 2012</w:t>
      </w:r>
      <w:r w:rsidR="00474226">
        <w:t>, p. 378).</w:t>
      </w:r>
      <w:r>
        <w:t xml:space="preserve"> </w:t>
      </w:r>
      <w:r w:rsidR="00FF3CF2">
        <w:t>The rationale for this approach is that by creating</w:t>
      </w:r>
      <w:r w:rsidR="00B9362E">
        <w:t xml:space="preserve"> stronger linkages between </w:t>
      </w:r>
      <w:r w:rsidR="00137182">
        <w:t>theory</w:t>
      </w:r>
      <w:r w:rsidR="00FF3CF2">
        <w:t xml:space="preserve"> </w:t>
      </w:r>
      <w:r w:rsidR="00137182">
        <w:t>and</w:t>
      </w:r>
      <w:r w:rsidR="00FF3CF2">
        <w:t xml:space="preserve"> the work of teaching itself, teacher preparation programs will prepare teachers </w:t>
      </w:r>
      <w:r w:rsidR="005D5DB3">
        <w:t xml:space="preserve">with the pedagogical skills to effectively </w:t>
      </w:r>
      <w:r w:rsidR="008151C4">
        <w:t>achieve ambitious learning goals with all students</w:t>
      </w:r>
      <w:r w:rsidR="00FF3CF2">
        <w:t xml:space="preserve"> (Forzani, 2014). </w:t>
      </w:r>
      <w:r w:rsidR="00035977">
        <w:t>R</w:t>
      </w:r>
      <w:r w:rsidR="00035977" w:rsidRPr="001E27CF">
        <w:t xml:space="preserve">ecent research demonstrates that teachers who graduate from education programs with an extensive, mentored, practice component produce better learning outcomes for their students than teachers </w:t>
      </w:r>
      <w:r w:rsidR="00035977">
        <w:t xml:space="preserve">who do not (Darling-Hammond &amp; Wei, 2009). </w:t>
      </w:r>
      <w:r w:rsidR="00D655DD">
        <w:t xml:space="preserve">In this paper, we examine one approach to PBTP within an introductory course on disability and special education for pre-service general education teachers. We seek to </w:t>
      </w:r>
      <w:r w:rsidR="00DF7ABC">
        <w:t>expand</w:t>
      </w:r>
      <w:r w:rsidR="00D655DD">
        <w:t xml:space="preserve"> the research base by employing the constructs of Opportunities to Learn (OTL) and the flipped classroom as a means to increase opportunities for practice within teacher preparation.</w:t>
      </w:r>
      <w:r w:rsidR="004322CC">
        <w:t xml:space="preserve"> Moreover, we will use these constructs within an overarching framework for inclusive education.</w:t>
      </w:r>
      <w:r w:rsidR="00D655DD">
        <w:t xml:space="preserve"> </w:t>
      </w:r>
      <w:r w:rsidR="00570CD3">
        <w:t>In this section, we will provide an overview of current trends in PBTP as well as discuss the potential barriers t</w:t>
      </w:r>
      <w:r w:rsidR="00153A35">
        <w:t>o widespread</w:t>
      </w:r>
      <w:r w:rsidR="00570CD3">
        <w:t xml:space="preserve"> adoption in teacher education. </w:t>
      </w:r>
    </w:p>
    <w:p w14:paraId="06820783" w14:textId="77777777" w:rsidR="00A95733" w:rsidRDefault="00A95733" w:rsidP="00512713">
      <w:pPr>
        <w:spacing w:line="480" w:lineRule="auto"/>
        <w:ind w:firstLine="720"/>
        <w:jc w:val="center"/>
        <w:rPr>
          <w:b/>
        </w:rPr>
      </w:pPr>
    </w:p>
    <w:p w14:paraId="4566E4DC" w14:textId="77777777" w:rsidR="00A95733" w:rsidRDefault="00A95733" w:rsidP="00512713">
      <w:pPr>
        <w:spacing w:line="480" w:lineRule="auto"/>
        <w:ind w:firstLine="720"/>
        <w:jc w:val="center"/>
        <w:rPr>
          <w:b/>
        </w:rPr>
      </w:pPr>
    </w:p>
    <w:p w14:paraId="2D24DBA2" w14:textId="7A0AB130" w:rsidR="00512713" w:rsidRPr="00512713" w:rsidRDefault="00512713" w:rsidP="00512713">
      <w:pPr>
        <w:spacing w:line="480" w:lineRule="auto"/>
        <w:ind w:firstLine="720"/>
        <w:jc w:val="center"/>
        <w:rPr>
          <w:b/>
        </w:rPr>
      </w:pPr>
      <w:r w:rsidRPr="00512713">
        <w:rPr>
          <w:b/>
        </w:rPr>
        <w:lastRenderedPageBreak/>
        <w:t>Overview of Practice-Based Teacher Preparation</w:t>
      </w:r>
    </w:p>
    <w:p w14:paraId="11ECF619" w14:textId="6B3432FC" w:rsidR="0011124D" w:rsidRDefault="00FF3CF2" w:rsidP="006A59F4">
      <w:pPr>
        <w:spacing w:line="480" w:lineRule="auto"/>
        <w:ind w:firstLine="720"/>
      </w:pPr>
      <w:r>
        <w:t>The notion of practice is hardly new in tea</w:t>
      </w:r>
      <w:r w:rsidR="00090AC7">
        <w:t>cher preparation (Zeichner, 2012</w:t>
      </w:r>
      <w:r>
        <w:t xml:space="preserve">), but </w:t>
      </w:r>
      <w:r w:rsidR="006B46B8">
        <w:t xml:space="preserve">teacher educators </w:t>
      </w:r>
      <w:r>
        <w:t>throughout different eras ha</w:t>
      </w:r>
      <w:r w:rsidR="004508A2">
        <w:t xml:space="preserve">ve taken </w:t>
      </w:r>
      <w:r w:rsidR="00631014">
        <w:t>practice</w:t>
      </w:r>
      <w:r w:rsidR="004508A2">
        <w:t xml:space="preserve"> up in multiple ways </w:t>
      </w:r>
      <w:r w:rsidR="00FE243C">
        <w:t>(Forzani, 2014</w:t>
      </w:r>
      <w:r w:rsidR="0051378B">
        <w:t>)</w:t>
      </w:r>
      <w:r>
        <w:t xml:space="preserve">. </w:t>
      </w:r>
      <w:r w:rsidR="00FE243C">
        <w:t xml:space="preserve">According to the </w:t>
      </w:r>
      <w:r w:rsidR="00FE243C" w:rsidRPr="00BD0A23">
        <w:t>National Council for Accreditation of Teacher Education Blue Ribbon Panel Report (2010),</w:t>
      </w:r>
      <w:r w:rsidR="00FE243C">
        <w:t xml:space="preserve"> teacher education should be restructured to foreground clinical practice. Indeed, robust clinical practice experiences are necessary for pre-</w:t>
      </w:r>
      <w:r w:rsidR="00A153D3">
        <w:t>service teacher to situate theoretical</w:t>
      </w:r>
      <w:r w:rsidR="00FE243C">
        <w:t xml:space="preserve"> knowledge within classroom contexts</w:t>
      </w:r>
      <w:r w:rsidR="00CE1744">
        <w:t xml:space="preserve"> (Darling-Hammond &amp; Wei, 2009)</w:t>
      </w:r>
      <w:r w:rsidR="00FE243C">
        <w:t>. However, merely increasing the length of time in the field for pre-service teachers without thoughtful attention to</w:t>
      </w:r>
      <w:r w:rsidR="008D4EBD">
        <w:t xml:space="preserve"> the overall</w:t>
      </w:r>
      <w:r w:rsidR="00FE243C">
        <w:t xml:space="preserve"> programmatic structure </w:t>
      </w:r>
      <w:r w:rsidR="00C2029A">
        <w:t>has the potential</w:t>
      </w:r>
      <w:r w:rsidR="00FE243C">
        <w:t xml:space="preserve"> to be </w:t>
      </w:r>
      <w:r w:rsidR="006B46B8">
        <w:t>highly</w:t>
      </w:r>
      <w:r w:rsidR="002F212E">
        <w:t xml:space="preserve"> </w:t>
      </w:r>
      <w:r w:rsidR="00FE243C">
        <w:t>symbolic</w:t>
      </w:r>
      <w:r w:rsidR="00F420F7">
        <w:t xml:space="preserve"> rather than meaningful</w:t>
      </w:r>
      <w:r w:rsidR="00FE243C">
        <w:t xml:space="preserve"> (McDonald</w:t>
      </w:r>
      <w:r w:rsidR="002F0B85">
        <w:t xml:space="preserve"> et al., </w:t>
      </w:r>
      <w:r w:rsidR="00FE243C">
        <w:t xml:space="preserve">2014). Moreover, </w:t>
      </w:r>
      <w:r w:rsidR="00076E4F">
        <w:t xml:space="preserve">clinical practice in isolation </w:t>
      </w:r>
      <w:r w:rsidR="00FE243C">
        <w:t xml:space="preserve">provides no </w:t>
      </w:r>
      <w:r w:rsidR="00F00FEA">
        <w:t xml:space="preserve">impetus </w:t>
      </w:r>
      <w:r w:rsidR="00FE243C">
        <w:t xml:space="preserve">for change in the way that teacher educators interact with pre-service teachers (Kazemi, Ghousseini, Cundar, &amp; Turrou, 2015). </w:t>
      </w:r>
      <w:r w:rsidR="0051378B">
        <w:t xml:space="preserve">For this reason, </w:t>
      </w:r>
      <w:r w:rsidR="0011124D">
        <w:t>developments in the</w:t>
      </w:r>
      <w:r w:rsidR="0051378B">
        <w:t xml:space="preserve"> area of PBTP</w:t>
      </w:r>
      <w:r w:rsidR="0011124D">
        <w:t xml:space="preserve"> recommend that in addition to clinical experience, teacher preparation programs center their work around a set of core practices that all teachers must be able to execute</w:t>
      </w:r>
      <w:r w:rsidR="004C2FD5">
        <w:t xml:space="preserve"> efficiently and </w:t>
      </w:r>
      <w:r w:rsidR="00577C9C">
        <w:t>effectively</w:t>
      </w:r>
      <w:r w:rsidR="0011124D">
        <w:t xml:space="preserve"> before they enter the classroom</w:t>
      </w:r>
      <w:r w:rsidR="00B57627">
        <w:t xml:space="preserve"> (Ball &amp; Forzani, 2009).</w:t>
      </w:r>
    </w:p>
    <w:p w14:paraId="18D675F0" w14:textId="05865220" w:rsidR="00205F53" w:rsidRDefault="00707381" w:rsidP="00832DD8">
      <w:pPr>
        <w:spacing w:line="480" w:lineRule="auto"/>
        <w:ind w:firstLine="720"/>
      </w:pPr>
      <w:r>
        <w:t>The core practices approach</w:t>
      </w:r>
      <w:r w:rsidR="00747B2B">
        <w:t xml:space="preserve">, </w:t>
      </w:r>
      <w:r w:rsidR="003014A2">
        <w:t>also</w:t>
      </w:r>
      <w:r w:rsidR="00747B2B">
        <w:t xml:space="preserve"> called high-le</w:t>
      </w:r>
      <w:r w:rsidR="00EB6B27">
        <w:t>verage practices</w:t>
      </w:r>
      <w:r w:rsidR="00747B2B">
        <w:t xml:space="preserve"> (Ball &amp; Forzani, 2009),</w:t>
      </w:r>
      <w:r>
        <w:t xml:space="preserve"> </w:t>
      </w:r>
      <w:r w:rsidR="001E7B63">
        <w:t xml:space="preserve">stems from the growing demand </w:t>
      </w:r>
      <w:r w:rsidR="00EB2595">
        <w:t xml:space="preserve">placed </w:t>
      </w:r>
      <w:r w:rsidR="001E7B63">
        <w:t xml:space="preserve">on teacher preparation programs to prepare teachers who can design learning experiences that support all students </w:t>
      </w:r>
      <w:r w:rsidR="00832DD8">
        <w:t>in</w:t>
      </w:r>
      <w:r w:rsidR="002F212E">
        <w:t xml:space="preserve"> </w:t>
      </w:r>
      <w:r w:rsidR="00832DD8">
        <w:t>achieving</w:t>
      </w:r>
      <w:r w:rsidR="001E7B63">
        <w:t xml:space="preserve"> ambitious learning goals (Forzani, 2014). </w:t>
      </w:r>
      <w:r w:rsidR="00AC1094">
        <w:t xml:space="preserve">It centers on a set of </w:t>
      </w:r>
      <w:r w:rsidR="00832DD8">
        <w:t xml:space="preserve">core </w:t>
      </w:r>
      <w:r w:rsidR="00AC1094">
        <w:t>teaching practice</w:t>
      </w:r>
      <w:r w:rsidR="00832DD8">
        <w:t>s</w:t>
      </w:r>
      <w:r w:rsidR="00AC1094">
        <w:t xml:space="preserve"> considered essential to successful </w:t>
      </w:r>
      <w:r w:rsidR="00D70F26">
        <w:t>instruction</w:t>
      </w:r>
      <w:r w:rsidR="00047642">
        <w:t xml:space="preserve"> but of appropriate grain size (Ball &amp; Forzani, 2011)</w:t>
      </w:r>
      <w:r w:rsidR="00AC1094">
        <w:t>.</w:t>
      </w:r>
      <w:r w:rsidR="00047642">
        <w:t xml:space="preserve"> In other words, it should be specific but not too granular </w:t>
      </w:r>
      <w:r w:rsidR="002C2E12">
        <w:t xml:space="preserve">so that </w:t>
      </w:r>
      <w:r w:rsidR="00047642">
        <w:t xml:space="preserve">it cannot be decomposed for the purposes of reflection. </w:t>
      </w:r>
      <w:r w:rsidR="00205F53">
        <w:t xml:space="preserve">For example, </w:t>
      </w:r>
      <w:r w:rsidR="00047642">
        <w:t>leading whole class discussion is a core practice, while strategies for calling on students are embedded within the overarching core practice</w:t>
      </w:r>
      <w:r w:rsidR="00205F53">
        <w:t xml:space="preserve">. </w:t>
      </w:r>
      <w:r w:rsidR="008D4EBD">
        <w:t xml:space="preserve">Reid (2011) likens the core practices </w:t>
      </w:r>
      <w:r w:rsidR="008D4EBD">
        <w:lastRenderedPageBreak/>
        <w:t xml:space="preserve">approach to a game of professional tennis. The core skills of tennis such as </w:t>
      </w:r>
      <w:r w:rsidR="00BC26A1">
        <w:t>the serve</w:t>
      </w:r>
      <w:r w:rsidR="008D4EBD">
        <w:t>,</w:t>
      </w:r>
      <w:r w:rsidR="00BC26A1">
        <w:t xml:space="preserve"> lob, or backhand</w:t>
      </w:r>
      <w:r w:rsidR="009761DB">
        <w:t xml:space="preserve">, </w:t>
      </w:r>
      <w:r w:rsidR="008D4EBD">
        <w:t xml:space="preserve">get practiced over and over again so that they become routine and automatic. </w:t>
      </w:r>
      <w:r w:rsidR="009F4721">
        <w:t>W</w:t>
      </w:r>
      <w:r w:rsidR="008D4EBD">
        <w:t xml:space="preserve">hen the tennis player enters the field of play, </w:t>
      </w:r>
      <w:r w:rsidR="00011E2D">
        <w:t>he or she</w:t>
      </w:r>
      <w:r w:rsidR="008D4EBD">
        <w:t xml:space="preserve"> can focus on the moves of the opponent and take advantage of the affordances of the game rather than </w:t>
      </w:r>
      <w:r w:rsidR="00AD3F3B">
        <w:t xml:space="preserve">expending </w:t>
      </w:r>
      <w:r w:rsidR="002C2E12">
        <w:t xml:space="preserve">precious </w:t>
      </w:r>
      <w:r w:rsidR="00AD3F3B">
        <w:t>cognitive energy on mastering the</w:t>
      </w:r>
      <w:r w:rsidR="008D4EBD">
        <w:t xml:space="preserve"> basic </w:t>
      </w:r>
      <w:r w:rsidR="00570774">
        <w:t xml:space="preserve">tennis </w:t>
      </w:r>
      <w:r w:rsidR="008D4EBD">
        <w:t xml:space="preserve">skills. </w:t>
      </w:r>
      <w:r w:rsidR="00892216">
        <w:t>To extend this metaphor to teaching</w:t>
      </w:r>
      <w:r w:rsidR="00E91565">
        <w:t xml:space="preserve">, the core practices approach prepares teachers for </w:t>
      </w:r>
      <w:r w:rsidR="009D788A">
        <w:t xml:space="preserve">pedagogical </w:t>
      </w:r>
      <w:r w:rsidR="00E91565">
        <w:t>adaptation in the face of uncertainty</w:t>
      </w:r>
      <w:r w:rsidR="009D788A">
        <w:t xml:space="preserve"> within the classroom context</w:t>
      </w:r>
      <w:r w:rsidR="00E91565">
        <w:t xml:space="preserve">. </w:t>
      </w:r>
    </w:p>
    <w:p w14:paraId="52BF9414" w14:textId="0D094CED" w:rsidR="0017720E" w:rsidRDefault="008D4EBD" w:rsidP="00B60B34">
      <w:pPr>
        <w:spacing w:line="480" w:lineRule="auto"/>
        <w:ind w:firstLine="720"/>
      </w:pPr>
      <w:r>
        <w:t>This type of adaptive performance requires not only the opportunity for repeated practice but also the ability to innovate in multiple complex domains (Lampert</w:t>
      </w:r>
      <w:r w:rsidR="00365FF7">
        <w:t xml:space="preserve"> et al.</w:t>
      </w:r>
      <w:r>
        <w:t xml:space="preserve">, 2013). </w:t>
      </w:r>
      <w:r w:rsidR="002F212E">
        <w:t>Indeed, the act of teaching is increasingly complex. Teachers are consistently challenged to serve students representing a broad array of abilities, socioeconomic status</w:t>
      </w:r>
      <w:r w:rsidR="000A3E51">
        <w:t>es</w:t>
      </w:r>
      <w:r w:rsidR="002F212E">
        <w:t xml:space="preserve">, </w:t>
      </w:r>
      <w:r w:rsidR="009E63BE">
        <w:t>races,</w:t>
      </w:r>
      <w:r w:rsidR="00B3534F">
        <w:t xml:space="preserve"> and cultural</w:t>
      </w:r>
      <w:r w:rsidR="002F212E">
        <w:t xml:space="preserve"> backgrounds (Darling-Hammond, 2006). For this reason, teachers should be prepared in a range of practices that they can use nimbly to accomplish their goals with different students in varied contexts. The ability to make these pedagogical shifts will require multiple and rich opportunities to engage in pedagogical reasoning and action through practice-based preparation (Pella, 2015). </w:t>
      </w:r>
      <w:r w:rsidR="00747B2B">
        <w:t>The core practices approach</w:t>
      </w:r>
      <w:r w:rsidR="00EB6A66">
        <w:t xml:space="preserve"> embraces the uncertainty, parad</w:t>
      </w:r>
      <w:r w:rsidR="0017378F">
        <w:t>oxes, and messiness of teaching</w:t>
      </w:r>
      <w:r w:rsidR="00EB6A66">
        <w:t xml:space="preserve">. Rather than </w:t>
      </w:r>
      <w:r w:rsidR="00ED5FC4">
        <w:t xml:space="preserve">considering </w:t>
      </w:r>
      <w:r w:rsidR="00EB6A66">
        <w:t>the teacher as the</w:t>
      </w:r>
      <w:r w:rsidR="00ED5FC4">
        <w:t xml:space="preserve"> sole</w:t>
      </w:r>
      <w:r w:rsidR="00EB6A66">
        <w:t xml:space="preserve"> imparter of knowledge, it views </w:t>
      </w:r>
      <w:r w:rsidR="00C30F6D">
        <w:t>teaching as interactive work between teachers and students</w:t>
      </w:r>
      <w:r w:rsidR="004C0CF1">
        <w:t xml:space="preserve"> where student ideas </w:t>
      </w:r>
      <w:r w:rsidR="00C30F6D">
        <w:t xml:space="preserve">serve as a resource </w:t>
      </w:r>
      <w:r w:rsidR="00C72EFD">
        <w:t>that</w:t>
      </w:r>
      <w:r w:rsidR="00C30F6D">
        <w:t xml:space="preserve"> influence</w:t>
      </w:r>
      <w:r w:rsidR="00C72EFD">
        <w:t>s</w:t>
      </w:r>
      <w:r w:rsidR="00C30F6D">
        <w:t xml:space="preserve"> instruction</w:t>
      </w:r>
      <w:r w:rsidR="00205F53">
        <w:t xml:space="preserve"> (Forzani, 2014)</w:t>
      </w:r>
      <w:r w:rsidR="00C30F6D">
        <w:t xml:space="preserve">. </w:t>
      </w:r>
      <w:r w:rsidR="00146650">
        <w:t xml:space="preserve">Lampert </w:t>
      </w:r>
      <w:r w:rsidR="00365FF7">
        <w:t xml:space="preserve">and colleagues </w:t>
      </w:r>
      <w:r w:rsidR="00146650">
        <w:t xml:space="preserve">(2013) </w:t>
      </w:r>
      <w:r w:rsidR="00205F53">
        <w:t>describes</w:t>
      </w:r>
      <w:r w:rsidR="00146650">
        <w:t xml:space="preserve"> students as sense-makers</w:t>
      </w:r>
      <w:r w:rsidR="001C1B93">
        <w:t xml:space="preserve"> in the core practices approach</w:t>
      </w:r>
      <w:r w:rsidR="00146650">
        <w:t xml:space="preserve"> who engage in the serious intellectual activity </w:t>
      </w:r>
      <w:r w:rsidR="007D0094">
        <w:t>with teachers driving together</w:t>
      </w:r>
      <w:r w:rsidR="00146650">
        <w:t xml:space="preserve"> towards rigorous learning goals. </w:t>
      </w:r>
      <w:r w:rsidR="00EB4A24">
        <w:t xml:space="preserve">Furthermore, the teaching of core practices takes on a </w:t>
      </w:r>
      <w:r w:rsidR="00B60B34">
        <w:t>scaffolded approach to build pre-service teachers’ capacity for adaptation. Teacher educators initially seek</w:t>
      </w:r>
      <w:r w:rsidR="003560B7">
        <w:t xml:space="preserve"> practice opportunities for pre-service teachers within the safe environment of the </w:t>
      </w:r>
      <w:r w:rsidR="003560B7">
        <w:lastRenderedPageBreak/>
        <w:t>university classroom before encountering students (Grossman et al., 2009). This way, the pre-service can focus on the core practices at first with a reduced level of risk and complexity. Lampert</w:t>
      </w:r>
      <w:r w:rsidR="00365FF7">
        <w:t xml:space="preserve"> and colleagues</w:t>
      </w:r>
      <w:r w:rsidR="003560B7">
        <w:t xml:space="preserve"> (2013) use the method of public rehearsal to allow for repeated practice of core practices by pre-service teachers. </w:t>
      </w:r>
      <w:r w:rsidR="00EC173C">
        <w:t>Pre-service teachers preform this method</w:t>
      </w:r>
      <w:r w:rsidR="003560B7">
        <w:t xml:space="preserve"> publically with carefully designed instructional activities. Importantly, the rehearsal must be integrated with reflection that engages the teacher educator and fellow students. </w:t>
      </w:r>
      <w:r w:rsidR="00EC173C">
        <w:t>This way, t</w:t>
      </w:r>
      <w:r w:rsidR="003560B7">
        <w:t xml:space="preserve">eachers begin to view practice as an aesthetic exercise with the explicit purpose of being reviewed and analyzed (Reid, 2011). </w:t>
      </w:r>
      <w:r w:rsidR="00B60B34">
        <w:t>The core practices approach reflects the</w:t>
      </w:r>
      <w:r w:rsidR="00AE433B">
        <w:t xml:space="preserve"> </w:t>
      </w:r>
      <w:r w:rsidR="00B60B34">
        <w:t>demands of a diverse landscape in</w:t>
      </w:r>
      <w:r w:rsidR="00AE433B">
        <w:t xml:space="preserve"> 21</w:t>
      </w:r>
      <w:r w:rsidR="00AE433B" w:rsidRPr="00AE433B">
        <w:rPr>
          <w:vertAlign w:val="superscript"/>
        </w:rPr>
        <w:t>st</w:t>
      </w:r>
      <w:r w:rsidR="00AE433B">
        <w:t xml:space="preserve"> century teaching </w:t>
      </w:r>
      <w:r w:rsidR="00B60B34">
        <w:t xml:space="preserve">where </w:t>
      </w:r>
      <w:r w:rsidR="00F40586">
        <w:t>teachers</w:t>
      </w:r>
      <w:r w:rsidR="00AE433B">
        <w:t xml:space="preserve"> </w:t>
      </w:r>
      <w:r w:rsidR="00B60B34">
        <w:t>not only need to</w:t>
      </w:r>
      <w:r w:rsidR="00AE433B">
        <w:t xml:space="preserve"> understand the foundations of effective pedagogy </w:t>
      </w:r>
      <w:r w:rsidR="00F40586">
        <w:t>but also</w:t>
      </w:r>
      <w:r w:rsidR="00B60B34">
        <w:t xml:space="preserve"> how</w:t>
      </w:r>
      <w:r w:rsidR="00F40586">
        <w:t xml:space="preserve"> </w:t>
      </w:r>
      <w:r w:rsidR="00AE433B">
        <w:t xml:space="preserve">to apply them in varied contexts. </w:t>
      </w:r>
    </w:p>
    <w:p w14:paraId="5FADF6AF" w14:textId="36D4A818" w:rsidR="00AD7FC4" w:rsidRPr="004F4C62" w:rsidRDefault="0083577A" w:rsidP="004F4C62">
      <w:pPr>
        <w:spacing w:line="480" w:lineRule="auto"/>
        <w:rPr>
          <w:b/>
        </w:rPr>
      </w:pPr>
      <w:r>
        <w:rPr>
          <w:b/>
        </w:rPr>
        <w:t>Barriers to Widespread Adoption</w:t>
      </w:r>
    </w:p>
    <w:p w14:paraId="0799C689" w14:textId="7A1473E8" w:rsidR="00576622" w:rsidRDefault="00CB7E6A" w:rsidP="008F6A73">
      <w:pPr>
        <w:spacing w:line="480" w:lineRule="auto"/>
        <w:ind w:firstLine="720"/>
      </w:pPr>
      <w:r>
        <w:t>Given the potential benefits of PBTP</w:t>
      </w:r>
      <w:r w:rsidR="004B3187">
        <w:t xml:space="preserve">, </w:t>
      </w:r>
      <w:r>
        <w:t xml:space="preserve">it is surprising that </w:t>
      </w:r>
      <w:r w:rsidR="004B3187">
        <w:t>t</w:t>
      </w:r>
      <w:r w:rsidR="00BB6F6F">
        <w:t>eacher preparation programs</w:t>
      </w:r>
      <w:r w:rsidR="00E30E59">
        <w:t xml:space="preserve"> in general</w:t>
      </w:r>
      <w:r w:rsidR="005D53AC">
        <w:t xml:space="preserve"> are reluctant to embrace </w:t>
      </w:r>
      <w:r w:rsidR="00FE1811">
        <w:t>PBTP.</w:t>
      </w:r>
      <w:r w:rsidR="005D53AC">
        <w:t xml:space="preserve"> In fact, most programs </w:t>
      </w:r>
      <w:r w:rsidR="00BB6F6F">
        <w:t>remain</w:t>
      </w:r>
      <w:r w:rsidR="00CF1550">
        <w:t xml:space="preserve"> largely</w:t>
      </w:r>
      <w:r w:rsidR="00BB6F6F">
        <w:t xml:space="preserve"> disconnected </w:t>
      </w:r>
      <w:r w:rsidR="00CF1550">
        <w:t xml:space="preserve">from the </w:t>
      </w:r>
      <w:r w:rsidR="00C566E6">
        <w:t>context</w:t>
      </w:r>
      <w:r w:rsidR="00CF1550">
        <w:t xml:space="preserve"> of teaching</w:t>
      </w:r>
      <w:r w:rsidR="008B4438">
        <w:t xml:space="preserve"> (Ball &amp; Forzani, 2009)</w:t>
      </w:r>
      <w:r w:rsidR="00CF1550">
        <w:t xml:space="preserve">. </w:t>
      </w:r>
      <w:r w:rsidR="00F56974">
        <w:t xml:space="preserve">The resistance to </w:t>
      </w:r>
      <w:r w:rsidR="008423D2">
        <w:t xml:space="preserve">PBTP </w:t>
      </w:r>
      <w:r w:rsidR="00F56974">
        <w:t xml:space="preserve">stems from the widely held assumption that the act of teaching is </w:t>
      </w:r>
      <w:r w:rsidR="00EE0D36">
        <w:t xml:space="preserve">natural or instinctual. Therefore, it </w:t>
      </w:r>
      <w:r w:rsidR="005D53AC">
        <w:t>is assumed that it can be</w:t>
      </w:r>
      <w:r w:rsidR="00EE0D36">
        <w:t xml:space="preserve"> </w:t>
      </w:r>
      <w:r w:rsidR="00F56974">
        <w:t>mastered primarily through on-the-job improvisation. For example, Grossman</w:t>
      </w:r>
      <w:r w:rsidR="009B272F">
        <w:t xml:space="preserve"> and her colleagues (2009) explain </w:t>
      </w:r>
      <w:r w:rsidR="00F56974">
        <w:t>that building and maintaining professional relationships is assumed to be natur</w:t>
      </w:r>
      <w:r w:rsidR="005C229D">
        <w:t>al rather than learned skill. She</w:t>
      </w:r>
      <w:r w:rsidR="00F56974">
        <w:t xml:space="preserve"> argues that it is unrealistic to expect individuals who are socially adept to effectively collaborate with their colleagues, particularly in a field as </w:t>
      </w:r>
      <w:r w:rsidR="005C229D">
        <w:t>multifaceted</w:t>
      </w:r>
      <w:r w:rsidR="00F56974">
        <w:t xml:space="preserve"> as teaching</w:t>
      </w:r>
      <w:r w:rsidR="00340AB9">
        <w:t xml:space="preserve">. These assumptions are also </w:t>
      </w:r>
      <w:r w:rsidR="00DA5726">
        <w:t xml:space="preserve">held </w:t>
      </w:r>
      <w:r w:rsidR="00340AB9">
        <w:t>by the pre-service teachers.</w:t>
      </w:r>
      <w:r w:rsidR="00AF4401">
        <w:t xml:space="preserve"> P</w:t>
      </w:r>
      <w:r w:rsidR="000C1FF9">
        <w:t>re-service teacher</w:t>
      </w:r>
      <w:r w:rsidR="00747705">
        <w:t>s</w:t>
      </w:r>
      <w:r w:rsidR="000C1FF9">
        <w:t xml:space="preserve"> come with pre-</w:t>
      </w:r>
      <w:r w:rsidR="004B3187">
        <w:t>conceived</w:t>
      </w:r>
      <w:r w:rsidR="000C1FF9">
        <w:t xml:space="preserve"> notions about teaching and learning constructed through their own educational experiences</w:t>
      </w:r>
      <w:r w:rsidR="00154063">
        <w:t xml:space="preserve"> (Reid, 2011)</w:t>
      </w:r>
      <w:r w:rsidR="00AF4401">
        <w:t>.</w:t>
      </w:r>
      <w:r w:rsidR="00154063">
        <w:t xml:space="preserve"> </w:t>
      </w:r>
      <w:r w:rsidR="00AF4401">
        <w:t>Thus,</w:t>
      </w:r>
      <w:r w:rsidR="000C1FF9">
        <w:t xml:space="preserve"> it can be </w:t>
      </w:r>
      <w:r w:rsidR="004B3187">
        <w:t>difficult</w:t>
      </w:r>
      <w:r w:rsidR="000C1FF9">
        <w:t xml:space="preserve"> to convince them that teaching, </w:t>
      </w:r>
      <w:r w:rsidR="00340AB9">
        <w:t>although a seemingly familiar script, is not something that they alre</w:t>
      </w:r>
      <w:r w:rsidR="000C1FF9">
        <w:t>a</w:t>
      </w:r>
      <w:r w:rsidR="00340AB9">
        <w:t xml:space="preserve">dy know </w:t>
      </w:r>
      <w:r w:rsidR="00340AB9">
        <w:lastRenderedPageBreak/>
        <w:t>how to do</w:t>
      </w:r>
      <w:r w:rsidR="00154063">
        <w:t xml:space="preserve">. </w:t>
      </w:r>
      <w:r w:rsidR="00340AB9">
        <w:t xml:space="preserve">Rather, it must be refined through reflection and scaffolded opportunities for practice. This can be accomplished by designing learning spaces that feel uncomfortable and novel to pre-service teachers so that they see repeated practice as something worthy of further study. </w:t>
      </w:r>
      <w:r w:rsidR="00ED29C9">
        <w:t>W</w:t>
      </w:r>
      <w:r w:rsidR="00015E4F">
        <w:t xml:space="preserve">idespread adoption of PBTP will require a substantial shift in the way that </w:t>
      </w:r>
      <w:r w:rsidR="006807C1">
        <w:t>teacher educators, university administrators, pre-service teachers, as well as society at large perceive teaching</w:t>
      </w:r>
      <w:r w:rsidR="00015E4F">
        <w:t xml:space="preserve">. </w:t>
      </w:r>
    </w:p>
    <w:p w14:paraId="03BB7311" w14:textId="4A2EF8BE" w:rsidR="00A8232C" w:rsidRDefault="00F56974" w:rsidP="00F01CBA">
      <w:pPr>
        <w:spacing w:line="480" w:lineRule="auto"/>
        <w:ind w:firstLine="720"/>
        <w:rPr>
          <w:b/>
        </w:rPr>
      </w:pPr>
      <w:r>
        <w:t xml:space="preserve">One barrier to the adoption of </w:t>
      </w:r>
      <w:r w:rsidR="00581304">
        <w:t>PBTP</w:t>
      </w:r>
      <w:r>
        <w:t xml:space="preserve"> is an underdeveloped knowledge base around sophisticated approaches (Ball &amp; Forzani, 2009; Grossman</w:t>
      </w:r>
      <w:r w:rsidR="007B21D3">
        <w:t>, et al.</w:t>
      </w:r>
      <w:r>
        <w:t xml:space="preserve">, 2009; Pella, 2015). This paper seeks to </w:t>
      </w:r>
      <w:r w:rsidR="008F6A73">
        <w:t xml:space="preserve">contribute </w:t>
      </w:r>
      <w:r w:rsidR="00954DA3">
        <w:t xml:space="preserve">the </w:t>
      </w:r>
      <w:r>
        <w:t xml:space="preserve">knowledge base </w:t>
      </w:r>
      <w:r w:rsidR="00954DA3">
        <w:t>on</w:t>
      </w:r>
      <w:r>
        <w:t xml:space="preserve"> practice-based teacher preparation</w:t>
      </w:r>
      <w:r w:rsidR="00954DA3">
        <w:t xml:space="preserve"> by exploring the flipped classroom</w:t>
      </w:r>
      <w:r w:rsidR="00B9362E">
        <w:t xml:space="preserve"> as a practice-based</w:t>
      </w:r>
      <w:r w:rsidR="00954DA3">
        <w:t xml:space="preserve"> model </w:t>
      </w:r>
      <w:r w:rsidR="0000086E">
        <w:t>to increase pre-service teachers’ opportunities to learn</w:t>
      </w:r>
      <w:r>
        <w:t>.</w:t>
      </w:r>
      <w:r w:rsidR="008C4F4A">
        <w:t xml:space="preserve"> </w:t>
      </w:r>
      <w:r w:rsidR="00367238">
        <w:t xml:space="preserve">Moreover, there has been </w:t>
      </w:r>
      <w:r w:rsidR="0013695A">
        <w:t>limited</w:t>
      </w:r>
      <w:r w:rsidR="00367238">
        <w:t xml:space="preserve"> </w:t>
      </w:r>
      <w:r w:rsidR="0013695A">
        <w:t>research around core practices</w:t>
      </w:r>
      <w:r w:rsidR="00B36490">
        <w:t xml:space="preserve"> and</w:t>
      </w:r>
      <w:r w:rsidR="0013695A">
        <w:t xml:space="preserve"> PBTP within special education teacher preparation (McLeskey &amp; Brownell, 2015).</w:t>
      </w:r>
      <w:r w:rsidR="00367238">
        <w:t xml:space="preserve"> </w:t>
      </w:r>
      <w:r w:rsidR="00B36490">
        <w:t xml:space="preserve">The course described in this study is an introductory special education course for general educators. We seek to add to the literature base by providing an example of how PBTP can be applied to special education. </w:t>
      </w:r>
      <w:r w:rsidR="00C45AE8">
        <w:t xml:space="preserve">The core practices for special education that we identified in our course include: (a) facilitating inclusion, (b) planning instruction, (c) using individualized educational plans, (d) implementing instruction, and (e) enacting disability law. </w:t>
      </w:r>
      <w:r w:rsidR="00247758">
        <w:t xml:space="preserve">Our </w:t>
      </w:r>
      <w:r w:rsidR="000B03B0">
        <w:t xml:space="preserve">study addressed three research questions in the initial analysis of the data: (a) What is the effect of the flipped classroom instructional model on students’ knowledge acquisition of </w:t>
      </w:r>
      <w:r w:rsidR="000D1A13">
        <w:t>core practices</w:t>
      </w:r>
      <w:r w:rsidR="000B03B0">
        <w:t xml:space="preserve">?; (b) What is the effect of the flipped classroom instructional model on students’ ability to apply </w:t>
      </w:r>
      <w:r w:rsidR="00606170">
        <w:t>core practices</w:t>
      </w:r>
      <w:r w:rsidR="000B03B0">
        <w:t xml:space="preserve"> for exceptional students in their lesson planning?; and (c) What is the effect of the flipped classroom instructional model on students’ attitudes towards inclusion and collaboration?  In doing so, we hope to contribute to the </w:t>
      </w:r>
      <w:r w:rsidR="000A41B1">
        <w:t>literature around</w:t>
      </w:r>
      <w:r w:rsidR="000B03B0">
        <w:t xml:space="preserve"> creative appr</w:t>
      </w:r>
      <w:r w:rsidR="00BA0A2B">
        <w:t xml:space="preserve">oaches to </w:t>
      </w:r>
      <w:r w:rsidR="00212990">
        <w:t>PBTP</w:t>
      </w:r>
      <w:r w:rsidR="00BA0A2B">
        <w:t xml:space="preserve"> in ord</w:t>
      </w:r>
      <w:r w:rsidR="00CA4A10">
        <w:t>er to prepare teachers to use effective teaching practices to serve a diverse range of learners</w:t>
      </w:r>
      <w:r w:rsidR="000B03B0">
        <w:t>.</w:t>
      </w:r>
      <w:r w:rsidR="00D0705C">
        <w:t xml:space="preserve"> In the next </w:t>
      </w:r>
      <w:r w:rsidR="00D0705C">
        <w:lastRenderedPageBreak/>
        <w:t xml:space="preserve">section we will describe the constructs we used </w:t>
      </w:r>
      <w:r w:rsidR="000B03B0">
        <w:t>to design a</w:t>
      </w:r>
      <w:r w:rsidR="00303FE0">
        <w:t xml:space="preserve"> 16-week, undergraduate</w:t>
      </w:r>
      <w:r w:rsidR="000B03B0">
        <w:t xml:space="preserve"> course with these goals in mind.  </w:t>
      </w:r>
    </w:p>
    <w:p w14:paraId="7455A0AB" w14:textId="59E7F177" w:rsidR="008247A2" w:rsidRDefault="00257C8B" w:rsidP="008247A2">
      <w:pPr>
        <w:spacing w:line="480" w:lineRule="auto"/>
        <w:jc w:val="center"/>
        <w:rPr>
          <w:b/>
        </w:rPr>
      </w:pPr>
      <w:r>
        <w:rPr>
          <w:b/>
        </w:rPr>
        <w:t xml:space="preserve">Course </w:t>
      </w:r>
      <w:r w:rsidR="00D63B9E">
        <w:rPr>
          <w:b/>
        </w:rPr>
        <w:t>(Re)</w:t>
      </w:r>
      <w:r>
        <w:rPr>
          <w:b/>
        </w:rPr>
        <w:t>Design</w:t>
      </w:r>
    </w:p>
    <w:p w14:paraId="250B4BB0" w14:textId="38D8D586" w:rsidR="008320B6" w:rsidRPr="007D692B" w:rsidRDefault="008320B6" w:rsidP="00D255D3">
      <w:pPr>
        <w:spacing w:line="480" w:lineRule="auto"/>
      </w:pPr>
      <w:r>
        <w:tab/>
      </w:r>
      <w:r w:rsidR="00B94D1C">
        <w:t>Our purpose in (</w:t>
      </w:r>
      <w:r w:rsidR="00F6497A">
        <w:t>re)</w:t>
      </w:r>
      <w:r w:rsidR="00B94D1C">
        <w:t xml:space="preserve">designing the introductory special education course was twofold. First, we </w:t>
      </w:r>
      <w:r w:rsidR="00DF40CA">
        <w:t xml:space="preserve">sought </w:t>
      </w:r>
      <w:r w:rsidR="00B94D1C">
        <w:t xml:space="preserve">to increase pre-service teachers opportunities to engage in practice-based activities during class meetings. To accomplish this goal, we drew on the construct of opportunities to learn and situated it within a flipped classroom instructional model. </w:t>
      </w:r>
      <w:r w:rsidR="00203C37">
        <w:t xml:space="preserve">This represented a major shift from traditional lecture format typically used for the course. </w:t>
      </w:r>
      <w:r w:rsidR="00B94D1C">
        <w:t xml:space="preserve">Second, we endeavored to situate the course within an explicit overarching framework for inclusion. </w:t>
      </w:r>
      <w:r w:rsidR="00203C37">
        <w:t xml:space="preserve">While previous iterations of the course promoted inclusive practices, our framework expanded the notion of inclusion to incorporate multiple forms of difference as they intersect with disability as well as a critical analysis of educational inequity. This section will explain how we took up these constructs within the new design of the course.  </w:t>
      </w:r>
      <w:r w:rsidR="00B94D1C">
        <w:t xml:space="preserve"> </w:t>
      </w:r>
    </w:p>
    <w:p w14:paraId="107FD999" w14:textId="30582B99" w:rsidR="00A605CF" w:rsidRPr="0008002D" w:rsidRDefault="00A605CF" w:rsidP="00D255D3">
      <w:pPr>
        <w:spacing w:line="480" w:lineRule="auto"/>
        <w:rPr>
          <w:b/>
        </w:rPr>
      </w:pPr>
      <w:r>
        <w:rPr>
          <w:b/>
        </w:rPr>
        <w:t>Opportunities to Learn</w:t>
      </w:r>
      <w:r>
        <w:t xml:space="preserve"> </w:t>
      </w:r>
    </w:p>
    <w:p w14:paraId="13CB7C6E" w14:textId="122803C0" w:rsidR="00A605CF" w:rsidRDefault="00A605CF" w:rsidP="00A605CF">
      <w:pPr>
        <w:spacing w:line="480" w:lineRule="auto"/>
        <w:ind w:firstLine="720"/>
      </w:pPr>
      <w:r>
        <w:t xml:space="preserve">The scholarship around OTL defines </w:t>
      </w:r>
      <w:r w:rsidR="00A83BC9">
        <w:t>th</w:t>
      </w:r>
      <w:r w:rsidR="00F360FC">
        <w:t>e</w:t>
      </w:r>
      <w:r w:rsidR="00A83BC9">
        <w:t xml:space="preserve"> framework</w:t>
      </w:r>
      <w:r>
        <w:t xml:space="preserve"> in </w:t>
      </w:r>
      <w:r w:rsidR="00A83BC9">
        <w:t xml:space="preserve">several </w:t>
      </w:r>
      <w:r>
        <w:t xml:space="preserve">ways. </w:t>
      </w:r>
      <w:r w:rsidR="00A83BC9">
        <w:t>D</w:t>
      </w:r>
      <w:r>
        <w:t xml:space="preserve">efinitions </w:t>
      </w:r>
      <w:r w:rsidR="00F0586A">
        <w:t xml:space="preserve">of OTL </w:t>
      </w:r>
      <w:r>
        <w:t>vary from simply “opportunities which schools provide students to learn what is expected of them” (Herman, Klein, &amp;, Abedi, 2000, p. 16) to more nuanced definitions that analyze t</w:t>
      </w:r>
      <w:r w:rsidR="009771D8">
        <w:t>2</w:t>
      </w:r>
      <w:r>
        <w:t xml:space="preserve">he degree to which teachers and schools provide the cultural tools that constrain or afford instructional engagement (Gee, 2008; Aguirre-Munoz, &amp; Amabisca, 2010; Griffin, Allen, Kimura-Walsh, &amp; Yamamura, 2007).  For the purposes of this </w:t>
      </w:r>
      <w:r w:rsidR="00072446">
        <w:t>study</w:t>
      </w:r>
      <w:r w:rsidR="00F0586A">
        <w:t xml:space="preserve"> and course design,</w:t>
      </w:r>
      <w:r>
        <w:t xml:space="preserve"> we primarily dr</w:t>
      </w:r>
      <w:r w:rsidR="00F0586A">
        <w:t>e</w:t>
      </w:r>
      <w:r>
        <w:t xml:space="preserve">w </w:t>
      </w:r>
      <w:r w:rsidR="00F0586A">
        <w:t xml:space="preserve">from </w:t>
      </w:r>
      <w:r>
        <w:t>the definition offered by Kurz</w:t>
      </w:r>
      <w:r w:rsidR="00946E1E">
        <w:t xml:space="preserve"> (2011</w:t>
      </w:r>
      <w:r>
        <w:t>)</w:t>
      </w:r>
      <w:r w:rsidR="007044FF">
        <w:t>, who state</w:t>
      </w:r>
      <w:r w:rsidR="00946E1E">
        <w:t>s</w:t>
      </w:r>
      <w:r w:rsidR="007044FF">
        <w:t xml:space="preserve"> that</w:t>
      </w:r>
      <w:r>
        <w:t xml:space="preserve"> OTL represents</w:t>
      </w:r>
      <w:r w:rsidR="007044FF">
        <w:t>,</w:t>
      </w:r>
      <w:r>
        <w:t xml:space="preserve"> “…</w:t>
      </w:r>
      <w:r w:rsidR="00946E1E">
        <w:t xml:space="preserve">the degree to which a teacher dedicates instructional time and content coverage to the intended curriculum objectives emphasizing high-order cognitive processes, evidence-based </w:t>
      </w:r>
      <w:r w:rsidR="00946E1E">
        <w:lastRenderedPageBreak/>
        <w:t>practices, and alternative grouping formats</w:t>
      </w:r>
      <w:r>
        <w:t xml:space="preserve">” (p. </w:t>
      </w:r>
      <w:r w:rsidR="00946E1E">
        <w:t>113</w:t>
      </w:r>
      <w:r>
        <w:t xml:space="preserve">). </w:t>
      </w:r>
      <w:r w:rsidR="00D17969">
        <w:t>T</w:t>
      </w:r>
      <w:r>
        <w:t xml:space="preserve">his </w:t>
      </w:r>
      <w:r w:rsidR="007F7E20">
        <w:t>definition of OTL in the re-</w:t>
      </w:r>
      <w:r>
        <w:t xml:space="preserve">design </w:t>
      </w:r>
      <w:r w:rsidR="007F7E20">
        <w:t xml:space="preserve">of </w:t>
      </w:r>
      <w:r>
        <w:t>th</w:t>
      </w:r>
      <w:r w:rsidR="007F7E20">
        <w:t>e</w:t>
      </w:r>
      <w:r>
        <w:t xml:space="preserve"> course was most suited for</w:t>
      </w:r>
      <w:r w:rsidR="00E47C6B">
        <w:t xml:space="preserve"> our goals of redesigning a single teacher education course for increased opportunities for practice. </w:t>
      </w:r>
    </w:p>
    <w:p w14:paraId="5C286583" w14:textId="57C50AF2" w:rsidR="00D17969" w:rsidRDefault="007044FF" w:rsidP="00A605CF">
      <w:pPr>
        <w:spacing w:line="480" w:lineRule="auto"/>
        <w:ind w:firstLine="720"/>
      </w:pPr>
      <w:r>
        <w:t>While o</w:t>
      </w:r>
      <w:r w:rsidR="00A605CF">
        <w:t xml:space="preserve">riginally developed </w:t>
      </w:r>
      <w:r>
        <w:t>for use in</w:t>
      </w:r>
      <w:r w:rsidR="00A605CF">
        <w:t xml:space="preserve"> PK-12 schools, we </w:t>
      </w:r>
      <w:r>
        <w:t>applied th</w:t>
      </w:r>
      <w:r w:rsidR="006F700B">
        <w:t>e multidimensional OTL f</w:t>
      </w:r>
      <w:r>
        <w:t>ramework in the context of</w:t>
      </w:r>
      <w:r w:rsidR="00A605CF">
        <w:t xml:space="preserve"> teacher education. The three dimension</w:t>
      </w:r>
      <w:r w:rsidR="0089616B">
        <w:t>s</w:t>
      </w:r>
      <w:r w:rsidR="00A605CF">
        <w:t xml:space="preserve"> of OTL </w:t>
      </w:r>
      <w:r w:rsidR="0089616B">
        <w:t xml:space="preserve">include </w:t>
      </w:r>
      <w:r w:rsidR="00A605CF">
        <w:t>time, content</w:t>
      </w:r>
      <w:r w:rsidR="0089616B">
        <w:t>,</w:t>
      </w:r>
      <w:r w:rsidR="00A605CF">
        <w:t xml:space="preserve"> and quality</w:t>
      </w:r>
      <w:r w:rsidR="0089616B">
        <w:t xml:space="preserve">. </w:t>
      </w:r>
      <w:r w:rsidR="007502EE">
        <w:t>Working from the definition of OTL described above, in this study we focus</w:t>
      </w:r>
      <w:r w:rsidR="00F360FC">
        <w:t>ed</w:t>
      </w:r>
      <w:r w:rsidR="007502EE">
        <w:t xml:space="preserve"> on the </w:t>
      </w:r>
      <w:r w:rsidR="0089616B">
        <w:t>dimension of</w:t>
      </w:r>
      <w:r w:rsidR="00A605CF">
        <w:t xml:space="preserve"> quality </w:t>
      </w:r>
      <w:r w:rsidR="007502EE">
        <w:t>which</w:t>
      </w:r>
      <w:r w:rsidR="0089616B">
        <w:t xml:space="preserve"> </w:t>
      </w:r>
      <w:r w:rsidR="00F360FC">
        <w:t xml:space="preserve">can </w:t>
      </w:r>
      <w:r w:rsidR="0089616B">
        <w:t>be understood in terms of</w:t>
      </w:r>
      <w:r w:rsidR="00A605CF">
        <w:t xml:space="preserve"> three sub-dimensions</w:t>
      </w:r>
      <w:r w:rsidR="0089616B">
        <w:t>:</w:t>
      </w:r>
      <w:r w:rsidR="00A605CF">
        <w:t xml:space="preserve"> cognitive processes, </w:t>
      </w:r>
      <w:r w:rsidR="00B508ED">
        <w:t xml:space="preserve">core </w:t>
      </w:r>
      <w:r w:rsidR="00A605CF">
        <w:t>instructional practices</w:t>
      </w:r>
      <w:r w:rsidR="00AC6997">
        <w:t>,</w:t>
      </w:r>
      <w:r w:rsidR="00A605CF">
        <w:t xml:space="preserve"> and grouping formats (</w:t>
      </w:r>
      <w:r w:rsidR="00A605CF" w:rsidRPr="006F700B">
        <w:t>Elliott, Roach &amp; Kurz, 2014</w:t>
      </w:r>
      <w:r w:rsidR="00A605CF">
        <w:t xml:space="preserve">). We derived our modified operational indices for each of these dimensions from the five </w:t>
      </w:r>
      <w:r w:rsidR="006A5413">
        <w:t>core practices of special education that drove the direction</w:t>
      </w:r>
      <w:r w:rsidR="00A605CF">
        <w:t xml:space="preserve"> of the course</w:t>
      </w:r>
      <w:r w:rsidR="00357322">
        <w:t>:</w:t>
      </w:r>
      <w:r w:rsidR="00A605CF">
        <w:t xml:space="preserve"> (a) </w:t>
      </w:r>
      <w:r w:rsidR="00045AE7">
        <w:t>facilitating inclusion</w:t>
      </w:r>
      <w:r w:rsidR="00A605CF">
        <w:t>, (b) planning</w:t>
      </w:r>
      <w:r w:rsidR="0018541E">
        <w:t xml:space="preserve"> instruction</w:t>
      </w:r>
      <w:r w:rsidR="00A605CF">
        <w:t xml:space="preserve">, (c) </w:t>
      </w:r>
      <w:r w:rsidR="0018541E">
        <w:t xml:space="preserve">using </w:t>
      </w:r>
      <w:r w:rsidR="00F13626">
        <w:t>i</w:t>
      </w:r>
      <w:r w:rsidR="00A605CF">
        <w:t xml:space="preserve">ndividualized </w:t>
      </w:r>
      <w:r w:rsidR="00F13626">
        <w:t>e</w:t>
      </w:r>
      <w:r w:rsidR="00A605CF">
        <w:t xml:space="preserve">ducational </w:t>
      </w:r>
      <w:r w:rsidR="00F13626">
        <w:t>p</w:t>
      </w:r>
      <w:r w:rsidR="00A605CF">
        <w:t>lans, (</w:t>
      </w:r>
      <w:r w:rsidR="008F338D">
        <w:t>d</w:t>
      </w:r>
      <w:r w:rsidR="00A605CF">
        <w:t xml:space="preserve">) </w:t>
      </w:r>
      <w:r w:rsidR="0018541E">
        <w:t>implementing instruction</w:t>
      </w:r>
      <w:r w:rsidR="00357322">
        <w:t>,</w:t>
      </w:r>
      <w:r w:rsidR="00A605CF">
        <w:t xml:space="preserve"> and (</w:t>
      </w:r>
      <w:r w:rsidR="008F338D">
        <w:t>e</w:t>
      </w:r>
      <w:r w:rsidR="00A605CF">
        <w:t xml:space="preserve">) </w:t>
      </w:r>
      <w:r w:rsidR="00045AE7">
        <w:t xml:space="preserve">enacting </w:t>
      </w:r>
      <w:r w:rsidR="00A605CF">
        <w:t>disability la</w:t>
      </w:r>
      <w:r w:rsidR="000B14D7">
        <w:t>w.</w:t>
      </w:r>
      <w:r w:rsidR="00A605CF">
        <w:t xml:space="preserve"> </w:t>
      </w:r>
    </w:p>
    <w:p w14:paraId="00714422" w14:textId="71843CB6" w:rsidR="00A605CF" w:rsidRDefault="00357322" w:rsidP="00A605CF">
      <w:pPr>
        <w:spacing w:line="480" w:lineRule="auto"/>
        <w:ind w:firstLine="720"/>
      </w:pPr>
      <w:r>
        <w:t>Working from a definition of OTL that includes attention to cognitive processes,</w:t>
      </w:r>
      <w:r w:rsidR="00A605CF">
        <w:t xml:space="preserve"> we increase</w:t>
      </w:r>
      <w:r>
        <w:t>d</w:t>
      </w:r>
      <w:r w:rsidR="00A605CF">
        <w:t xml:space="preserve"> the quality of our instruction by providing instructional activities that </w:t>
      </w:r>
      <w:r>
        <w:t xml:space="preserve">scaled the hierarchy of </w:t>
      </w:r>
      <w:r w:rsidR="00A605CF">
        <w:t>Bloom’s Taxonomy</w:t>
      </w:r>
      <w:r w:rsidR="00126C3E">
        <w:t xml:space="preserve"> (</w:t>
      </w:r>
      <w:r w:rsidR="00244BF6">
        <w:rPr>
          <w:rFonts w:eastAsia="Times New Roman"/>
        </w:rPr>
        <w:t xml:space="preserve">Bloom, </w:t>
      </w:r>
      <w:r w:rsidR="00244BF6">
        <w:rPr>
          <w:rStyle w:val="spelle"/>
          <w:rFonts w:eastAsia="Times New Roman"/>
        </w:rPr>
        <w:t>Englehart</w:t>
      </w:r>
      <w:r w:rsidR="00244BF6">
        <w:rPr>
          <w:rFonts w:eastAsia="Times New Roman"/>
        </w:rPr>
        <w:t xml:space="preserve">, </w:t>
      </w:r>
      <w:r w:rsidR="00244BF6">
        <w:rPr>
          <w:rStyle w:val="spelle"/>
          <w:rFonts w:eastAsia="Times New Roman"/>
        </w:rPr>
        <w:t>Furst</w:t>
      </w:r>
      <w:r w:rsidR="00244BF6">
        <w:rPr>
          <w:rFonts w:eastAsia="Times New Roman"/>
        </w:rPr>
        <w:t xml:space="preserve">, Hill, &amp; </w:t>
      </w:r>
      <w:r w:rsidR="00244BF6">
        <w:rPr>
          <w:rStyle w:val="spelle"/>
          <w:rFonts w:eastAsia="Times New Roman"/>
        </w:rPr>
        <w:t>Krathwohl</w:t>
      </w:r>
      <w:r w:rsidR="00126C3E">
        <w:t>, 1956)</w:t>
      </w:r>
      <w:r w:rsidR="00A605CF">
        <w:t>. W</w:t>
      </w:r>
      <w:r>
        <w:t>hile w</w:t>
      </w:r>
      <w:r w:rsidR="00A605CF">
        <w:t xml:space="preserve">e strove to achieve balance between </w:t>
      </w:r>
      <w:r>
        <w:t xml:space="preserve">the </w:t>
      </w:r>
      <w:r w:rsidR="00A605CF">
        <w:t xml:space="preserve">levels </w:t>
      </w:r>
      <w:r>
        <w:t xml:space="preserve">of cognitive processes, we </w:t>
      </w:r>
      <w:r w:rsidR="00A605CF">
        <w:t>also focused on maximizing activities that challenged students at the highe</w:t>
      </w:r>
      <w:r>
        <w:t>st</w:t>
      </w:r>
      <w:r w:rsidR="00A605CF">
        <w:t xml:space="preserve"> levels of the taxonomy. We utilized a wide variety of instructional practices</w:t>
      </w:r>
      <w:r w:rsidR="00B6389F">
        <w:t xml:space="preserve"> and grouping formats</w:t>
      </w:r>
      <w:r w:rsidR="00A605CF">
        <w:t xml:space="preserve"> that allowed for increased engagement and student ownership. Some of these activities included TeachLivE teaching simulations, </w:t>
      </w:r>
      <w:r w:rsidR="0097532C">
        <w:t xml:space="preserve">Japanese lesson study, </w:t>
      </w:r>
      <w:r w:rsidR="00A605CF">
        <w:t>case study analysis, fishbowl discussions, and jigsaw discussion</w:t>
      </w:r>
      <w:r w:rsidR="00A8232C">
        <w:t>s</w:t>
      </w:r>
      <w:r w:rsidR="00A605CF">
        <w:t xml:space="preserve"> amongst others. Furthermore, the grouping formats of these activities ranged from dyads, small groups of five to six students and whole class student driven activities </w:t>
      </w:r>
      <w:r w:rsidR="00A8232C">
        <w:t>such as</w:t>
      </w:r>
      <w:r w:rsidR="00A605CF">
        <w:t xml:space="preserve"> </w:t>
      </w:r>
      <w:r w:rsidR="00A605CF">
        <w:lastRenderedPageBreak/>
        <w:t xml:space="preserve">debates. In sum, we used the OTL </w:t>
      </w:r>
      <w:r w:rsidR="00D17969">
        <w:t xml:space="preserve">framework </w:t>
      </w:r>
      <w:r w:rsidR="00A605CF">
        <w:t>to design a class marked by variety, engagement</w:t>
      </w:r>
      <w:r w:rsidR="00A8232C">
        <w:t>,</w:t>
      </w:r>
      <w:r w:rsidR="00A605CF">
        <w:t xml:space="preserve"> and challenging instruction gear</w:t>
      </w:r>
      <w:r w:rsidR="00B6389F">
        <w:t>ed</w:t>
      </w:r>
      <w:r w:rsidR="00A605CF">
        <w:t xml:space="preserve"> toward </w:t>
      </w:r>
      <w:r w:rsidR="0050177F">
        <w:t>opportunities to practice</w:t>
      </w:r>
      <w:r w:rsidR="00A605CF">
        <w:t xml:space="preserve">. </w:t>
      </w:r>
    </w:p>
    <w:p w14:paraId="144F7A5C" w14:textId="77777777" w:rsidR="00A605CF" w:rsidRDefault="00A605CF" w:rsidP="00081B10">
      <w:pPr>
        <w:spacing w:line="480" w:lineRule="auto"/>
        <w:rPr>
          <w:b/>
        </w:rPr>
      </w:pPr>
      <w:r>
        <w:rPr>
          <w:b/>
        </w:rPr>
        <w:t>Flipped Classroom Model</w:t>
      </w:r>
    </w:p>
    <w:p w14:paraId="4815E321" w14:textId="1ADC29A8" w:rsidR="00A605CF" w:rsidRDefault="00A605CF" w:rsidP="00A605CF">
      <w:pPr>
        <w:spacing w:line="480" w:lineRule="auto"/>
      </w:pPr>
      <w:r>
        <w:rPr>
          <w:b/>
        </w:rPr>
        <w:tab/>
      </w:r>
      <w:r w:rsidR="005E2D7A">
        <w:t>In order to</w:t>
      </w:r>
      <w:r w:rsidR="009D1DEB">
        <w:t xml:space="preserve"> increase pre-service teacher OTL</w:t>
      </w:r>
      <w:r w:rsidR="005E2D7A">
        <w:t xml:space="preserve">, we </w:t>
      </w:r>
      <w:r w:rsidR="005E2D7A" w:rsidRPr="00081B10">
        <w:t>used</w:t>
      </w:r>
      <w:r w:rsidR="005E2D7A">
        <w:t xml:space="preserve"> a flipped classroom instructional model</w:t>
      </w:r>
      <w:r w:rsidR="00AC6997">
        <w:t xml:space="preserve">. </w:t>
      </w:r>
      <w:r w:rsidR="005E2D7A">
        <w:t>Flipped classrooms change the use of classroom time by forgoing traditional lecture in order to increase student engagement and autonomy</w:t>
      </w:r>
      <w:r w:rsidR="005E2D7A" w:rsidRPr="00923B0C">
        <w:t xml:space="preserve"> </w:t>
      </w:r>
      <w:r w:rsidR="005E2D7A">
        <w:t xml:space="preserve">(Abeysekera &amp; Dawson, 2015). A flipped classroom model emphasizes active learning, peer learning, and collective problem solving. Additionally, students’ time outside of class is restructured to cover activities or material traditionally considered part of in-class time. During out-of-class time, students typically explore class content through multimedia and other forms of technology. </w:t>
      </w:r>
      <w:r w:rsidR="00AC6997">
        <w:t xml:space="preserve">With attention to changing instructional delivery and increasing active student engagement, a flipped classroom model </w:t>
      </w:r>
      <w:r w:rsidR="005E2D7A">
        <w:t>supports</w:t>
      </w:r>
      <w:r w:rsidR="00923B0C">
        <w:t xml:space="preserve"> an</w:t>
      </w:r>
      <w:r w:rsidR="00AC6997">
        <w:t xml:space="preserve"> OTL framework</w:t>
      </w:r>
      <w:r w:rsidR="005E2D7A">
        <w:t>.</w:t>
      </w:r>
      <w:r w:rsidR="00AC6997">
        <w:t xml:space="preserve"> </w:t>
      </w:r>
      <w:r>
        <w:t xml:space="preserve">Bearing in mind </w:t>
      </w:r>
      <w:r w:rsidR="005E2D7A">
        <w:t>OTL</w:t>
      </w:r>
      <w:r>
        <w:t xml:space="preserve"> and the dimension of time, it is important to note that </w:t>
      </w:r>
      <w:r w:rsidR="00FF43C7">
        <w:t>this particular</w:t>
      </w:r>
      <w:r w:rsidR="00ED59AB">
        <w:t xml:space="preserve"> </w:t>
      </w:r>
      <w:r>
        <w:t xml:space="preserve">undergraduate course </w:t>
      </w:r>
      <w:r w:rsidR="00ED59AB">
        <w:t xml:space="preserve">was </w:t>
      </w:r>
      <w:r>
        <w:t>constrained by the 150 minutes (75 minutes sessions twice a week) allotted each week. While an exciting notion, flipped classrooms remain under</w:t>
      </w:r>
      <w:r w:rsidR="006F46EA">
        <w:t>-</w:t>
      </w:r>
      <w:r>
        <w:t>researched and under</w:t>
      </w:r>
      <w:r w:rsidR="006F46EA">
        <w:t>-</w:t>
      </w:r>
      <w:r>
        <w:t xml:space="preserve">theorized </w:t>
      </w:r>
      <w:r w:rsidR="00043283">
        <w:t xml:space="preserve">in higher education </w:t>
      </w:r>
      <w:r>
        <w:t xml:space="preserve">(Abeysekera &amp; Dawson, 2015). Indeed, our literature review only produced seven articles that met our criteria of flipped classroom models in higher education. Moreover, in our review of the literature we did not find any examples of flipped classrooms in teacher education settings. Thus, we hope that </w:t>
      </w:r>
      <w:r w:rsidR="006F46EA">
        <w:t xml:space="preserve">this </w:t>
      </w:r>
      <w:r>
        <w:t xml:space="preserve">study will contribute to the broader literature base around this burgeoning instructional model as well as its use within teacher education. </w:t>
      </w:r>
    </w:p>
    <w:p w14:paraId="0AB747D0" w14:textId="7919F372" w:rsidR="00A605CF" w:rsidRDefault="00A605CF" w:rsidP="00A605CF">
      <w:pPr>
        <w:spacing w:line="480" w:lineRule="auto"/>
      </w:pPr>
      <w:r>
        <w:tab/>
        <w:t>In the limited research on flipped classrooms, several studies attribute benefits to th</w:t>
      </w:r>
      <w:r w:rsidR="006F46EA">
        <w:t>is</w:t>
      </w:r>
      <w:r>
        <w:t xml:space="preserve"> </w:t>
      </w:r>
      <w:r w:rsidR="006F46EA">
        <w:t>instructional model</w:t>
      </w:r>
      <w:r>
        <w:t>. Flipped classrooms improved learning outcomes in a variety of fields such as business (</w:t>
      </w:r>
      <w:r w:rsidRPr="00E5358E">
        <w:t>Albert &amp; Beatty, 2014</w:t>
      </w:r>
      <w:r>
        <w:t>), nursing (</w:t>
      </w:r>
      <w:r w:rsidRPr="00E5358E">
        <w:t>Mattis, 2014</w:t>
      </w:r>
      <w:r>
        <w:t>)</w:t>
      </w:r>
      <w:r w:rsidR="006F46EA">
        <w:t>,</w:t>
      </w:r>
      <w:r>
        <w:t xml:space="preserve"> and computer science (</w:t>
      </w:r>
      <w:r w:rsidRPr="00E5358E">
        <w:t xml:space="preserve">Chen, </w:t>
      </w:r>
      <w:r w:rsidRPr="00E5358E">
        <w:lastRenderedPageBreak/>
        <w:t>Yuping, Kinshuk, &amp; Chen, 2014</w:t>
      </w:r>
      <w:r>
        <w:t xml:space="preserve">). In one study, </w:t>
      </w:r>
      <w:r w:rsidR="004517E7">
        <w:t xml:space="preserve">a </w:t>
      </w:r>
      <w:r>
        <w:t>flipped model</w:t>
      </w:r>
      <w:r w:rsidR="004517E7">
        <w:t xml:space="preserve"> supported</w:t>
      </w:r>
      <w:r>
        <w:t xml:space="preserve"> higher </w:t>
      </w:r>
      <w:r w:rsidR="004517E7">
        <w:t xml:space="preserve">learning outcomes </w:t>
      </w:r>
      <w:r>
        <w:t>with more complex content (Mattis, 2014). In addition to learning outcomes, flipped classrooms</w:t>
      </w:r>
      <w:r w:rsidR="004517E7">
        <w:t xml:space="preserve"> have</w:t>
      </w:r>
      <w:r>
        <w:t xml:space="preserve"> demonstrated a positive trend in student satisfaction. For instance, in a survey of 142 students enrolled in a pharmacy course, 91% strongly agree</w:t>
      </w:r>
      <w:r w:rsidR="007B6FBB">
        <w:t>d</w:t>
      </w:r>
      <w:r>
        <w:t xml:space="preserve"> or agreed that the flipped format greatly enhanced their learning (</w:t>
      </w:r>
      <w:r w:rsidRPr="00E5358E">
        <w:t>McLaughlin</w:t>
      </w:r>
      <w:r w:rsidR="006A51A9">
        <w:t xml:space="preserve"> et al.</w:t>
      </w:r>
      <w:r w:rsidRPr="00E5358E">
        <w:t>, 2014)</w:t>
      </w:r>
      <w:r>
        <w:t>. In another study</w:t>
      </w:r>
      <w:r w:rsidR="00EE4807">
        <w:t>,</w:t>
      </w:r>
      <w:r>
        <w:t xml:space="preserve"> </w:t>
      </w:r>
      <w:r w:rsidR="007635C8">
        <w:t xml:space="preserve">students in </w:t>
      </w:r>
      <w:r>
        <w:t>an environmental and occupational health course rated their satisfaction with the course a 4.7</w:t>
      </w:r>
      <w:r w:rsidR="00043283">
        <w:t xml:space="preserve"> on a five</w:t>
      </w:r>
      <w:r w:rsidR="007B6FBB">
        <w:t>-</w:t>
      </w:r>
      <w:r w:rsidR="00043283">
        <w:t>point</w:t>
      </w:r>
      <w:r>
        <w:t xml:space="preserve"> scale (</w:t>
      </w:r>
      <w:r w:rsidRPr="008D0E39">
        <w:t xml:space="preserve">Galway, Corbett, Takaro, </w:t>
      </w:r>
      <w:r w:rsidR="00A50EA2">
        <w:t xml:space="preserve">Tairyan, </w:t>
      </w:r>
      <w:r w:rsidRPr="008D0E39">
        <w:t>&amp; Frank, 2014</w:t>
      </w:r>
      <w:r>
        <w:t>)</w:t>
      </w:r>
      <w:r w:rsidR="007B6FBB">
        <w:t xml:space="preserve">, </w:t>
      </w:r>
      <w:r>
        <w:t>represent</w:t>
      </w:r>
      <w:r w:rsidR="007B6FBB">
        <w:t>ing</w:t>
      </w:r>
      <w:r>
        <w:t xml:space="preserve"> the highest </w:t>
      </w:r>
      <w:r w:rsidR="007635C8">
        <w:t xml:space="preserve">course evaluation ratings </w:t>
      </w:r>
      <w:r>
        <w:t xml:space="preserve">in five consecutive years. </w:t>
      </w:r>
      <w:r w:rsidR="007635C8">
        <w:t xml:space="preserve">This finding resonates with the work </w:t>
      </w:r>
      <w:r>
        <w:t>Chen and colleagues (2014)</w:t>
      </w:r>
      <w:r w:rsidR="007635C8">
        <w:t>, who</w:t>
      </w:r>
      <w:r>
        <w:t xml:space="preserve"> found that the engaging classroom activities afforded by the flipped classroom had a direct influence on student satisfaction. In the limited literature around flipped classrooms in higher education, increased learning outcomes and student satisfaction seem to be key benefits </w:t>
      </w:r>
      <w:r w:rsidR="007635C8">
        <w:t xml:space="preserve">of </w:t>
      </w:r>
      <w:r>
        <w:t>the model.</w:t>
      </w:r>
    </w:p>
    <w:p w14:paraId="344AB80D" w14:textId="739D5AD1" w:rsidR="00A605CF" w:rsidRPr="008B4398" w:rsidRDefault="00A605CF" w:rsidP="00A605CF">
      <w:pPr>
        <w:spacing w:line="480" w:lineRule="auto"/>
      </w:pPr>
      <w:r>
        <w:tab/>
        <w:t>The existing research al</w:t>
      </w:r>
      <w:r w:rsidR="00FF43C7">
        <w:t>so demonstrated some potential</w:t>
      </w:r>
      <w:r>
        <w:t xml:space="preserve"> limitations with the flipped model. For instance, qualitative data showed </w:t>
      </w:r>
      <w:r w:rsidR="007635C8">
        <w:t xml:space="preserve">students’ </w:t>
      </w:r>
      <w:r>
        <w:t xml:space="preserve">confusion </w:t>
      </w:r>
      <w:r w:rsidR="007635C8">
        <w:t xml:space="preserve">with </w:t>
      </w:r>
      <w:r>
        <w:t xml:space="preserve">self-directed learning activities </w:t>
      </w:r>
      <w:r w:rsidR="00674833">
        <w:t xml:space="preserve">as they struggled to </w:t>
      </w:r>
      <w:r>
        <w:t>mak</w:t>
      </w:r>
      <w:r w:rsidR="00674833">
        <w:t>e</w:t>
      </w:r>
      <w:r>
        <w:t xml:space="preserve"> connections between classroom activities and outside of class learning (</w:t>
      </w:r>
      <w:r w:rsidRPr="00E5358E">
        <w:t>Strayer, 2012</w:t>
      </w:r>
      <w:r>
        <w:t>). Additionally,</w:t>
      </w:r>
      <w:r w:rsidR="00674833">
        <w:t xml:space="preserve"> </w:t>
      </w:r>
      <w:r>
        <w:t>some students</w:t>
      </w:r>
      <w:r w:rsidR="00674833">
        <w:t xml:space="preserve"> confronted difficulty in </w:t>
      </w:r>
      <w:r>
        <w:t>alter</w:t>
      </w:r>
      <w:r w:rsidR="00674833">
        <w:t>ing</w:t>
      </w:r>
      <w:r>
        <w:t xml:space="preserve"> </w:t>
      </w:r>
      <w:r w:rsidR="00FF43C7">
        <w:t>classroom participation</w:t>
      </w:r>
      <w:r>
        <w:t xml:space="preserve"> from passive to active (Chen et al., 2014). </w:t>
      </w:r>
      <w:r w:rsidRPr="00E5358E">
        <w:t>Grant (2013)</w:t>
      </w:r>
      <w:r>
        <w:t xml:space="preserve"> noted logistical challenges in </w:t>
      </w:r>
      <w:r w:rsidR="00674833">
        <w:t xml:space="preserve">applying a flipped model to </w:t>
      </w:r>
      <w:r>
        <w:t>music education</w:t>
      </w:r>
      <w:r w:rsidR="00674833">
        <w:t xml:space="preserve"> including students’</w:t>
      </w:r>
      <w:r>
        <w:t xml:space="preserve"> lack of technology</w:t>
      </w:r>
      <w:r w:rsidR="00674833">
        <w:t xml:space="preserve"> access</w:t>
      </w:r>
      <w:r>
        <w:t xml:space="preserve"> outside of class and time involved in designing both out</w:t>
      </w:r>
      <w:r w:rsidR="00482734">
        <w:t>-</w:t>
      </w:r>
      <w:r>
        <w:t>of</w:t>
      </w:r>
      <w:r w:rsidR="00482734">
        <w:t>-</w:t>
      </w:r>
      <w:r>
        <w:t>class and in</w:t>
      </w:r>
      <w:r w:rsidR="00482734">
        <w:t>-</w:t>
      </w:r>
      <w:r>
        <w:t xml:space="preserve">class activities for the instructor. </w:t>
      </w:r>
      <w:r w:rsidR="00674833">
        <w:t>Given these potential limitations</w:t>
      </w:r>
      <w:r>
        <w:t>, Abeysekera and Dawson (201</w:t>
      </w:r>
      <w:r w:rsidR="00271B42">
        <w:t>5</w:t>
      </w:r>
      <w:r>
        <w:t>) caution researchers to consider the flipped classroom with scholarly skepticism and n</w:t>
      </w:r>
      <w:r w:rsidR="00576DF4">
        <w:t>ot as the “panacea” (p.12</w:t>
      </w:r>
      <w:r>
        <w:t xml:space="preserve">) promised by popular </w:t>
      </w:r>
      <w:r w:rsidR="005A6294">
        <w:t>discourse</w:t>
      </w:r>
      <w:r>
        <w:t>.</w:t>
      </w:r>
    </w:p>
    <w:p w14:paraId="7F39D2E1" w14:textId="77777777" w:rsidR="00533528" w:rsidRDefault="00533528" w:rsidP="0059571F">
      <w:pPr>
        <w:spacing w:line="480" w:lineRule="auto"/>
        <w:rPr>
          <w:b/>
        </w:rPr>
      </w:pPr>
    </w:p>
    <w:p w14:paraId="31839B1F" w14:textId="65EDFA2E" w:rsidR="00A605CF" w:rsidRDefault="00A605CF" w:rsidP="0059571F">
      <w:pPr>
        <w:spacing w:line="480" w:lineRule="auto"/>
        <w:rPr>
          <w:b/>
        </w:rPr>
      </w:pPr>
      <w:r>
        <w:rPr>
          <w:b/>
        </w:rPr>
        <w:lastRenderedPageBreak/>
        <w:t xml:space="preserve">IRIS Center </w:t>
      </w:r>
    </w:p>
    <w:p w14:paraId="0329D290" w14:textId="76B1EE3F" w:rsidR="00A605CF" w:rsidRDefault="00A605CF" w:rsidP="00960AAD">
      <w:pPr>
        <w:spacing w:line="480" w:lineRule="auto"/>
      </w:pPr>
      <w:r>
        <w:tab/>
        <w:t xml:space="preserve">Our study </w:t>
      </w:r>
      <w:r w:rsidR="00482734">
        <w:t>utilized</w:t>
      </w:r>
      <w:r>
        <w:t xml:space="preserve"> online modules from the IRIS Center</w:t>
      </w:r>
      <w:r w:rsidR="00545D8D">
        <w:t xml:space="preserve"> (iris.peabody.vanderbilt.edu)</w:t>
      </w:r>
      <w:r>
        <w:t xml:space="preserve"> to design out of class instruction to serve as the knowledge foundation for in class activities. The IRIS Center is based out of Vanderbilt University and seeks to create course enhancement materials for pre</w:t>
      </w:r>
      <w:r w:rsidR="00810C23">
        <w:t>-</w:t>
      </w:r>
      <w:r>
        <w:t>service teacher education</w:t>
      </w:r>
      <w:r w:rsidR="00083057">
        <w:t xml:space="preserve">. </w:t>
      </w:r>
      <w:r>
        <w:t>The modules draw on the research base of John Bransford and colleagues around adult learning theory (</w:t>
      </w:r>
      <w:r w:rsidRPr="000C444E">
        <w:t>Bransford, 200</w:t>
      </w:r>
      <w:r w:rsidR="00271B42">
        <w:t>9</w:t>
      </w:r>
      <w:r w:rsidRPr="000C444E">
        <w:t>; Bransford, Brown, &amp; Cocking, 2008</w:t>
      </w:r>
      <w:r>
        <w:t>). The modules present information through four overlapping len</w:t>
      </w:r>
      <w:r w:rsidR="00810C23">
        <w:t>s</w:t>
      </w:r>
      <w:r>
        <w:t>es (</w:t>
      </w:r>
      <w:r w:rsidR="00810C23">
        <w:t>e.g.</w:t>
      </w:r>
      <w:r w:rsidR="007B6FBB">
        <w:t xml:space="preserve"> </w:t>
      </w:r>
      <w:r>
        <w:t>learner, knowledge, assessment</w:t>
      </w:r>
      <w:r w:rsidR="00810C23">
        <w:t xml:space="preserve">, </w:t>
      </w:r>
      <w:r>
        <w:t>community) to offer a variety of perspectives (</w:t>
      </w:r>
      <w:r w:rsidRPr="000C444E">
        <w:t>Tyler &amp; Sims, 2010</w:t>
      </w:r>
      <w:r>
        <w:t>). IRIS works with nationally recognized scholars</w:t>
      </w:r>
      <w:r w:rsidR="00810C23">
        <w:t>,</w:t>
      </w:r>
      <w:r>
        <w:t xml:space="preserve"> producing cutting edge research to develop its content. Additionally, each module goes through a rigorous review process and field-testing.</w:t>
      </w:r>
      <w:r w:rsidR="0059571F">
        <w:t xml:space="preserve"> </w:t>
      </w:r>
      <w:r w:rsidR="000B531F">
        <w:t>We carefully curated the selection of modules and other resources to align with the five core practices of the course.</w:t>
      </w:r>
      <w:r w:rsidR="0059571F">
        <w:t xml:space="preserve"> </w:t>
      </w:r>
      <w:r w:rsidR="000B531F">
        <w:t xml:space="preserve">The purpose of the IRIS modules was to provide the foundational knowledge that teachers needed before providing opportunities to </w:t>
      </w:r>
      <w:r w:rsidR="00953089">
        <w:t>apply</w:t>
      </w:r>
      <w:r w:rsidR="000016C4">
        <w:t xml:space="preserve"> their</w:t>
      </w:r>
      <w:r w:rsidR="00953089">
        <w:t xml:space="preserve"> knowledge through </w:t>
      </w:r>
      <w:r w:rsidR="000B531F">
        <w:t xml:space="preserve">practice during the course meeting time. </w:t>
      </w:r>
    </w:p>
    <w:p w14:paraId="6E473C2E" w14:textId="77777777" w:rsidR="00830F3E" w:rsidRPr="00B411C6" w:rsidRDefault="008247A2" w:rsidP="00960AAD">
      <w:pPr>
        <w:spacing w:line="480" w:lineRule="auto"/>
        <w:rPr>
          <w:b/>
        </w:rPr>
      </w:pPr>
      <w:r w:rsidRPr="00B411C6">
        <w:rPr>
          <w:b/>
        </w:rPr>
        <w:t>Inclusive Education</w:t>
      </w:r>
    </w:p>
    <w:p w14:paraId="266F9822" w14:textId="56DAFCC2" w:rsidR="00B411C6" w:rsidRDefault="00C4332F" w:rsidP="00B411C6">
      <w:pPr>
        <w:spacing w:line="480" w:lineRule="auto"/>
        <w:ind w:firstLine="720"/>
      </w:pPr>
      <w:r>
        <w:t>In implementing PBTP, scholars have advocated for building coherence for students around an overarching conceptual</w:t>
      </w:r>
      <w:r w:rsidR="00A4425E">
        <w:t>, theoretical, or philosophical</w:t>
      </w:r>
      <w:r>
        <w:t xml:space="preserve"> frame for teaching (Hollins, 2011; McDonald et al., 2014, Waddell &amp; Vartuili, 2015). </w:t>
      </w:r>
      <w:r w:rsidR="00A4425E">
        <w:t xml:space="preserve">Examples of such frames include constructivist learning or social justice. </w:t>
      </w:r>
      <w:r w:rsidR="00A8488B">
        <w:t>In framing the curriculum around a</w:t>
      </w:r>
      <w:r w:rsidR="00A4425E">
        <w:t xml:space="preserve"> </w:t>
      </w:r>
      <w:r w:rsidR="00A8488B">
        <w:t>specific vision of teaching, pre-service teachers can</w:t>
      </w:r>
      <w:r>
        <w:t xml:space="preserve"> cognitively organize core practices within a larger </w:t>
      </w:r>
      <w:r w:rsidR="00A8488B">
        <w:t xml:space="preserve">educational </w:t>
      </w:r>
      <w:r w:rsidR="00A4425E">
        <w:t xml:space="preserve">purpose (McDonald et al., 2014). </w:t>
      </w:r>
      <w:r>
        <w:t xml:space="preserve"> </w:t>
      </w:r>
      <w:r w:rsidR="00A8488B">
        <w:t xml:space="preserve">In our course, we used inclusive education as the overarching frame for instruction. </w:t>
      </w:r>
      <w:r w:rsidR="005F00B1">
        <w:t xml:space="preserve">Grounded in the ideals of the Individuals with Disabilities Education Act of 2004 (IDEA), inclusion focused on providing students access to the general education </w:t>
      </w:r>
      <w:r w:rsidR="005F00B1">
        <w:lastRenderedPageBreak/>
        <w:t xml:space="preserve">curriculum in least restrictive environment.  Our view of inclusion advanced the four outcomes of IDEA: equal opportunity, economic self-sufficiency, full participation, and independent living.  This framework of inclusion was embedded throughout the course in the initial chapters of the textbook, multimedia presentations, guest speakers, and analyses of IEPs and instructional methods.  </w:t>
      </w:r>
      <w:r w:rsidR="00B411C6">
        <w:t>Typically, inclusive education</w:t>
      </w:r>
      <w:r w:rsidR="00B411C6" w:rsidRPr="006266BB">
        <w:t xml:space="preserve"> refers to the inclusion of students with disabilities into classrooms with nondisabled peers </w:t>
      </w:r>
      <w:r w:rsidR="00B411C6">
        <w:t>(</w:t>
      </w:r>
      <w:r w:rsidR="00B411C6" w:rsidRPr="00CB7A3E">
        <w:t>Broderick, et al., 2012</w:t>
      </w:r>
      <w:r w:rsidR="00B411C6" w:rsidRPr="006266BB">
        <w:t xml:space="preserve">). </w:t>
      </w:r>
      <w:r w:rsidR="00A8488B">
        <w:t xml:space="preserve">However, in this course we extended the meaning of inclusive education to include other historically marginalized communities. Although the course foregrounded disability, we believe it is </w:t>
      </w:r>
      <w:r w:rsidR="00B411C6" w:rsidRPr="006266BB">
        <w:t xml:space="preserve">problematic </w:t>
      </w:r>
      <w:r w:rsidR="00A8488B">
        <w:t>to ignore</w:t>
      </w:r>
      <w:r w:rsidR="00B411C6" w:rsidRPr="006266BB">
        <w:t xml:space="preserve"> the </w:t>
      </w:r>
      <w:r w:rsidR="00B411C6">
        <w:t>cultural and historical legacies of educational exclusion</w:t>
      </w:r>
      <w:r w:rsidR="00B411C6" w:rsidRPr="006266BB">
        <w:t xml:space="preserve"> </w:t>
      </w:r>
      <w:r w:rsidR="00B411C6">
        <w:t xml:space="preserve">and segregation </w:t>
      </w:r>
      <w:r w:rsidR="00B411C6" w:rsidRPr="006266BB">
        <w:t>based on</w:t>
      </w:r>
      <w:r w:rsidR="00B411C6">
        <w:t xml:space="preserve"> the cultural markers of difference, including but not limited to ability</w:t>
      </w:r>
      <w:r w:rsidR="00A8488B">
        <w:t xml:space="preserve"> (Artiles &amp;</w:t>
      </w:r>
      <w:r w:rsidR="00B411C6">
        <w:t xml:space="preserve"> Kozleski</w:t>
      </w:r>
      <w:r w:rsidR="00A8488B">
        <w:t xml:space="preserve">, </w:t>
      </w:r>
      <w:r w:rsidR="00B411C6">
        <w:t>2007)</w:t>
      </w:r>
      <w:r w:rsidR="00A8488B">
        <w:t>.</w:t>
      </w:r>
      <w:r w:rsidR="00B411C6">
        <w:t xml:space="preserve"> </w:t>
      </w:r>
      <w:r w:rsidR="008E7D8D">
        <w:t xml:space="preserve">Our instruction interrogated the culture of schooling in relation to power and privilege, specifically around special education. </w:t>
      </w:r>
      <w:r w:rsidR="00A8488B">
        <w:t>Thus, the definition of inclusive education promoted in this course championed</w:t>
      </w:r>
      <w:r w:rsidR="00B411C6">
        <w:t xml:space="preserve"> </w:t>
      </w:r>
      <w:r w:rsidR="00B411C6" w:rsidRPr="00310626">
        <w:t>access, participation</w:t>
      </w:r>
      <w:r w:rsidR="00B411C6">
        <w:t>, and positive outcomes for all children, particularly</w:t>
      </w:r>
      <w:r w:rsidR="00B411C6" w:rsidRPr="001C3DCC">
        <w:t xml:space="preserve"> individuals </w:t>
      </w:r>
      <w:r w:rsidR="00B411C6">
        <w:t>with historically marginalized</w:t>
      </w:r>
      <w:r w:rsidR="00B411C6" w:rsidRPr="001C3DCC">
        <w:t xml:space="preserve"> social identities</w:t>
      </w:r>
      <w:r w:rsidR="00B411C6">
        <w:t xml:space="preserve">. </w:t>
      </w:r>
      <w:r w:rsidR="002E1314">
        <w:t xml:space="preserve">Ideally, inclusive education would serve as a consistent framing used throughout the teacher preparation program. However, during the time of this study, our position did not afford us the </w:t>
      </w:r>
      <w:r w:rsidR="00FB1BFB">
        <w:t xml:space="preserve">opportunity </w:t>
      </w:r>
      <w:r w:rsidR="002E1314">
        <w:t xml:space="preserve">to suggest </w:t>
      </w:r>
      <w:r w:rsidR="00950A77">
        <w:t xml:space="preserve">sweeping </w:t>
      </w:r>
      <w:r w:rsidR="002E1314">
        <w:t xml:space="preserve">programmatic changes across the entire School of Education. Therefore, the inclusive education framing was unfortunately limited to this single course. </w:t>
      </w:r>
    </w:p>
    <w:p w14:paraId="736BA227" w14:textId="03389D78" w:rsidR="00830F3E" w:rsidRDefault="00830F3E" w:rsidP="007C6E94">
      <w:pPr>
        <w:spacing w:line="480" w:lineRule="auto"/>
        <w:ind w:firstLine="720"/>
        <w:jc w:val="center"/>
        <w:rPr>
          <w:b/>
        </w:rPr>
      </w:pPr>
      <w:r>
        <w:rPr>
          <w:b/>
        </w:rPr>
        <w:t>Research Design</w:t>
      </w:r>
    </w:p>
    <w:p w14:paraId="5CEE6C13" w14:textId="230DDD80" w:rsidR="0014128D" w:rsidRDefault="004B295D" w:rsidP="00775F60">
      <w:pPr>
        <w:spacing w:line="480" w:lineRule="auto"/>
        <w:ind w:firstLine="720"/>
      </w:pPr>
      <w:r>
        <w:t xml:space="preserve">In light of the research on practice-based teacher preparation programs, OTL, and flipped classrooms, we developed a </w:t>
      </w:r>
      <w:r w:rsidR="00E8583E">
        <w:t xml:space="preserve">research </w:t>
      </w:r>
      <w:r>
        <w:t xml:space="preserve">design to evaluate if the flipped method had an impact on students’ knowledge acquisition, </w:t>
      </w:r>
      <w:r w:rsidR="000733E6">
        <w:t xml:space="preserve">application of </w:t>
      </w:r>
      <w:r w:rsidR="003174FE">
        <w:t>core</w:t>
      </w:r>
      <w:r w:rsidR="00916BFE">
        <w:t xml:space="preserve"> practices</w:t>
      </w:r>
      <w:r w:rsidR="000733E6">
        <w:t>, and attitudes</w:t>
      </w:r>
      <w:r w:rsidR="003174FE">
        <w:t xml:space="preserve"> towards inclusion and collaboration</w:t>
      </w:r>
      <w:r w:rsidR="000733E6">
        <w:t xml:space="preserve">.  As determined by the university, the course spanned a 16-week semester.  </w:t>
      </w:r>
      <w:r w:rsidR="000733E6">
        <w:lastRenderedPageBreak/>
        <w:t>Previously th</w:t>
      </w:r>
      <w:r w:rsidR="00E8583E">
        <w:t>e course had been conducted through</w:t>
      </w:r>
      <w:r w:rsidR="000733E6">
        <w:t xml:space="preserve"> discussions of various disability categories each day with guest speakers and written examinations.  In the re-design, the textbook remained consistent, but we divided the course into three units after an introductory pre-unit</w:t>
      </w:r>
      <w:r w:rsidR="00521BCA">
        <w:t xml:space="preserve"> (see </w:t>
      </w:r>
      <w:r w:rsidR="000D2B3C">
        <w:t>Table</w:t>
      </w:r>
      <w:r w:rsidR="00521BCA">
        <w:t xml:space="preserve"> 1)</w:t>
      </w:r>
      <w:r w:rsidR="000733E6">
        <w:t>.  The introductory pre-unit provided time to explain the study, review technology procedures, and build a class community.  Each textbook chapter was paired with an IRIS Center module that corresponded to the content and application of the information.  The flipped classroom and typical classroom lesson plans were developed simultaneously in order to ensure similar content knowledge for all the students in order to meet the goals of the course.  The following paragraphs describe the sample, instructional designs, a</w:t>
      </w:r>
      <w:r w:rsidR="00775F60">
        <w:t xml:space="preserve">nd data analysis in detail.   </w:t>
      </w:r>
    </w:p>
    <w:p w14:paraId="466CFC43" w14:textId="34AAA29D" w:rsidR="00FC77CA" w:rsidRDefault="00FC77CA" w:rsidP="000C594D">
      <w:r>
        <w:t>Table 1</w:t>
      </w:r>
    </w:p>
    <w:p w14:paraId="7E76F53A" w14:textId="4D714163" w:rsidR="00FC77CA" w:rsidRPr="000C594D" w:rsidRDefault="00FC77CA" w:rsidP="000C594D">
      <w:pPr>
        <w:rPr>
          <w:i/>
        </w:rPr>
      </w:pPr>
      <w:r>
        <w:rPr>
          <w:i/>
        </w:rPr>
        <w:t>Research Design</w:t>
      </w:r>
    </w:p>
    <w:tbl>
      <w:tblPr>
        <w:tblStyle w:val="Medium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7"/>
        <w:gridCol w:w="2367"/>
        <w:gridCol w:w="2367"/>
      </w:tblGrid>
      <w:tr w:rsidR="00EE4807" w:rsidRPr="0068509C" w14:paraId="3D0F0E0C" w14:textId="77777777" w:rsidTr="000C59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tcBorders>
              <w:top w:val="single" w:sz="4" w:space="0" w:color="auto"/>
              <w:bottom w:val="single" w:sz="4" w:space="0" w:color="auto"/>
            </w:tcBorders>
            <w:shd w:val="clear" w:color="auto" w:fill="auto"/>
          </w:tcPr>
          <w:p w14:paraId="41316DC4" w14:textId="4FF7A5AB" w:rsidR="00EE4807" w:rsidRPr="0068509C" w:rsidRDefault="000755AE" w:rsidP="00F62D9A">
            <w:pPr>
              <w:jc w:val="center"/>
              <w:rPr>
                <w:rFonts w:ascii="Times New Roman" w:hAnsi="Times New Roman" w:cs="Times New Roman"/>
              </w:rPr>
            </w:pPr>
            <w:r>
              <w:rPr>
                <w:rFonts w:ascii="Times New Roman" w:hAnsi="Times New Roman" w:cs="Times New Roman"/>
              </w:rPr>
              <w:t>Unit</w:t>
            </w:r>
          </w:p>
        </w:tc>
        <w:tc>
          <w:tcPr>
            <w:tcW w:w="2367" w:type="dxa"/>
            <w:tcBorders>
              <w:top w:val="single" w:sz="4" w:space="0" w:color="auto"/>
              <w:bottom w:val="single" w:sz="4" w:space="0" w:color="auto"/>
            </w:tcBorders>
            <w:shd w:val="clear" w:color="auto" w:fill="auto"/>
          </w:tcPr>
          <w:p w14:paraId="204CD21F" w14:textId="3EB0897A" w:rsidR="00EE4807" w:rsidRPr="00BB4B5F" w:rsidRDefault="00EE4807" w:rsidP="00F62D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w:t>
            </w:r>
            <w:r w:rsidRPr="00BB4B5F">
              <w:rPr>
                <w:rFonts w:ascii="Times New Roman" w:hAnsi="Times New Roman" w:cs="Times New Roman"/>
              </w:rPr>
              <w:t xml:space="preserve"> 1</w:t>
            </w:r>
          </w:p>
        </w:tc>
        <w:tc>
          <w:tcPr>
            <w:tcW w:w="2367" w:type="dxa"/>
            <w:tcBorders>
              <w:top w:val="single" w:sz="4" w:space="0" w:color="auto"/>
              <w:bottom w:val="single" w:sz="4" w:space="0" w:color="auto"/>
            </w:tcBorders>
            <w:shd w:val="clear" w:color="auto" w:fill="auto"/>
          </w:tcPr>
          <w:p w14:paraId="3E25A18A" w14:textId="1596F3FA" w:rsidR="00EE4807" w:rsidRPr="00BB4B5F" w:rsidRDefault="00EE4807" w:rsidP="00F62D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w:t>
            </w:r>
            <w:r w:rsidRPr="00BB4B5F">
              <w:rPr>
                <w:rFonts w:ascii="Times New Roman" w:hAnsi="Times New Roman" w:cs="Times New Roman"/>
              </w:rPr>
              <w:t xml:space="preserve"> 2</w:t>
            </w:r>
          </w:p>
        </w:tc>
        <w:tc>
          <w:tcPr>
            <w:tcW w:w="2367" w:type="dxa"/>
            <w:tcBorders>
              <w:top w:val="single" w:sz="4" w:space="0" w:color="auto"/>
              <w:bottom w:val="single" w:sz="4" w:space="0" w:color="auto"/>
            </w:tcBorders>
            <w:shd w:val="clear" w:color="auto" w:fill="auto"/>
          </w:tcPr>
          <w:p w14:paraId="22233E05" w14:textId="36725FF2" w:rsidR="00EE4807" w:rsidRPr="00BB4B5F" w:rsidRDefault="00EE4807" w:rsidP="00F62D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Measures</w:t>
            </w:r>
          </w:p>
        </w:tc>
      </w:tr>
      <w:tr w:rsidR="00EE4807" w:rsidRPr="0068509C" w14:paraId="4F30D26B" w14:textId="77777777" w:rsidTr="000C594D">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367" w:type="dxa"/>
            <w:tcBorders>
              <w:top w:val="single" w:sz="4" w:space="0" w:color="auto"/>
              <w:right w:val="none" w:sz="0" w:space="0" w:color="auto"/>
            </w:tcBorders>
            <w:shd w:val="clear" w:color="auto" w:fill="auto"/>
          </w:tcPr>
          <w:p w14:paraId="059AC019" w14:textId="77777777" w:rsidR="00EE4807" w:rsidRPr="00BB4B5F" w:rsidRDefault="00EE4807" w:rsidP="00F62D9A">
            <w:pPr>
              <w:jc w:val="center"/>
              <w:rPr>
                <w:rFonts w:ascii="Times New Roman" w:hAnsi="Times New Roman" w:cs="Times New Roman"/>
              </w:rPr>
            </w:pPr>
            <w:r w:rsidRPr="00BB4B5F">
              <w:rPr>
                <w:rFonts w:ascii="Times New Roman" w:hAnsi="Times New Roman" w:cs="Times New Roman"/>
              </w:rPr>
              <w:t>Pre-Unit 1</w:t>
            </w:r>
          </w:p>
          <w:p w14:paraId="1CC83B7A" w14:textId="77777777" w:rsidR="00EE4807" w:rsidRPr="00BB4B5F" w:rsidRDefault="00EE4807" w:rsidP="00F62D9A">
            <w:pPr>
              <w:jc w:val="center"/>
              <w:rPr>
                <w:rFonts w:ascii="Times New Roman" w:hAnsi="Times New Roman" w:cs="Times New Roman"/>
                <w:b w:val="0"/>
              </w:rPr>
            </w:pPr>
            <w:r w:rsidRPr="00BB4B5F">
              <w:rPr>
                <w:rFonts w:ascii="Times New Roman" w:hAnsi="Times New Roman" w:cs="Times New Roman"/>
                <w:b w:val="0"/>
              </w:rPr>
              <w:t>(3 weeks)</w:t>
            </w:r>
          </w:p>
          <w:p w14:paraId="73CB440D" w14:textId="65F73FA7" w:rsidR="00EE4807" w:rsidRPr="00BB4B5F" w:rsidRDefault="00EE4807" w:rsidP="00F62D9A">
            <w:pPr>
              <w:jc w:val="center"/>
              <w:rPr>
                <w:rFonts w:ascii="Times New Roman" w:hAnsi="Times New Roman" w:cs="Times New Roman"/>
                <w:b w:val="0"/>
              </w:rPr>
            </w:pPr>
            <w:r w:rsidRPr="00BB4B5F">
              <w:rPr>
                <w:rFonts w:ascii="Times New Roman" w:hAnsi="Times New Roman" w:cs="Times New Roman"/>
                <w:b w:val="0"/>
              </w:rPr>
              <w:t>Introductory Unit</w:t>
            </w:r>
          </w:p>
          <w:p w14:paraId="02C40B25" w14:textId="77777777" w:rsidR="00EE4807" w:rsidRPr="0068509C" w:rsidRDefault="00EE4807" w:rsidP="000C594D">
            <w:pPr>
              <w:jc w:val="center"/>
              <w:rPr>
                <w:rFonts w:ascii="Times New Roman" w:eastAsiaTheme="minorEastAsia" w:hAnsi="Times New Roman" w:cs="Times New Roman"/>
                <w:b w:val="0"/>
                <w:bCs w:val="0"/>
                <w:color w:val="auto"/>
              </w:rPr>
            </w:pPr>
          </w:p>
        </w:tc>
        <w:tc>
          <w:tcPr>
            <w:tcW w:w="2367" w:type="dxa"/>
            <w:tcBorders>
              <w:top w:val="single" w:sz="4" w:space="0" w:color="auto"/>
              <w:left w:val="none" w:sz="0" w:space="0" w:color="auto"/>
              <w:right w:val="none" w:sz="0" w:space="0" w:color="auto"/>
            </w:tcBorders>
            <w:shd w:val="clear" w:color="auto" w:fill="auto"/>
          </w:tcPr>
          <w:p w14:paraId="35EC3886" w14:textId="77777777" w:rsidR="00EE4807" w:rsidRPr="0068509C" w:rsidRDefault="00EE4807" w:rsidP="000C59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(Pre-study)</w:t>
            </w:r>
          </w:p>
        </w:tc>
        <w:tc>
          <w:tcPr>
            <w:tcW w:w="2367" w:type="dxa"/>
            <w:tcBorders>
              <w:top w:val="single" w:sz="4" w:space="0" w:color="auto"/>
              <w:left w:val="none" w:sz="0" w:space="0" w:color="auto"/>
              <w:right w:val="none" w:sz="0" w:space="0" w:color="auto"/>
            </w:tcBorders>
            <w:shd w:val="clear" w:color="auto" w:fill="auto"/>
          </w:tcPr>
          <w:p w14:paraId="42413B5B" w14:textId="77777777" w:rsidR="00EE4807" w:rsidRPr="0068509C" w:rsidRDefault="00EE4807" w:rsidP="000C59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(Pre-study)</w:t>
            </w:r>
          </w:p>
        </w:tc>
        <w:tc>
          <w:tcPr>
            <w:tcW w:w="2367" w:type="dxa"/>
            <w:tcBorders>
              <w:top w:val="single" w:sz="4" w:space="0" w:color="auto"/>
              <w:left w:val="none" w:sz="0" w:space="0" w:color="auto"/>
            </w:tcBorders>
            <w:shd w:val="clear" w:color="auto" w:fill="auto"/>
          </w:tcPr>
          <w:p w14:paraId="16D6F2E4" w14:textId="550499BA" w:rsidR="00EE4807" w:rsidRPr="0068509C" w:rsidRDefault="00EE4807" w:rsidP="00F6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 measures</w:t>
            </w:r>
          </w:p>
        </w:tc>
      </w:tr>
      <w:tr w:rsidR="00EE4807" w:rsidRPr="0068509C" w14:paraId="56D95999" w14:textId="77777777" w:rsidTr="000C594D">
        <w:trPr>
          <w:trHeight w:val="1692"/>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F05388D" w14:textId="77777777" w:rsidR="00EE4807" w:rsidRPr="00BB4B5F" w:rsidRDefault="00EE4807" w:rsidP="00F62D9A">
            <w:pPr>
              <w:jc w:val="center"/>
              <w:rPr>
                <w:rFonts w:ascii="Times New Roman" w:hAnsi="Times New Roman" w:cs="Times New Roman"/>
              </w:rPr>
            </w:pPr>
            <w:r w:rsidRPr="00BB4B5F">
              <w:rPr>
                <w:rFonts w:ascii="Times New Roman" w:hAnsi="Times New Roman" w:cs="Times New Roman"/>
              </w:rPr>
              <w:t>Unit 1</w:t>
            </w:r>
          </w:p>
          <w:p w14:paraId="26573F5C" w14:textId="77777777" w:rsidR="00EE4807" w:rsidRPr="00BB4B5F" w:rsidRDefault="00EE4807" w:rsidP="00F62D9A">
            <w:pPr>
              <w:jc w:val="center"/>
              <w:rPr>
                <w:rFonts w:ascii="Times New Roman" w:hAnsi="Times New Roman" w:cs="Times New Roman"/>
                <w:b w:val="0"/>
              </w:rPr>
            </w:pPr>
            <w:r w:rsidRPr="00BB4B5F">
              <w:rPr>
                <w:rFonts w:ascii="Times New Roman" w:hAnsi="Times New Roman" w:cs="Times New Roman"/>
                <w:b w:val="0"/>
              </w:rPr>
              <w:t>(4 weeks)</w:t>
            </w:r>
          </w:p>
          <w:p w14:paraId="6750CB31" w14:textId="5951E6CC" w:rsidR="00EE4807" w:rsidRPr="0068509C" w:rsidRDefault="00EE4807" w:rsidP="000C594D">
            <w:pPr>
              <w:jc w:val="center"/>
              <w:rPr>
                <w:rFonts w:ascii="Times New Roman" w:eastAsiaTheme="minorEastAsia" w:hAnsi="Times New Roman" w:cs="Times New Roman"/>
                <w:b w:val="0"/>
                <w:bCs w:val="0"/>
                <w:color w:val="auto"/>
              </w:rPr>
            </w:pPr>
            <w:r w:rsidRPr="00BB4B5F">
              <w:rPr>
                <w:rFonts w:ascii="Times New Roman" w:hAnsi="Times New Roman" w:cs="Times New Roman"/>
                <w:b w:val="0"/>
              </w:rPr>
              <w:t>Frameworks for Inclusion</w:t>
            </w:r>
          </w:p>
        </w:tc>
        <w:tc>
          <w:tcPr>
            <w:tcW w:w="2367" w:type="dxa"/>
            <w:shd w:val="clear" w:color="auto" w:fill="auto"/>
          </w:tcPr>
          <w:p w14:paraId="218FF5BD" w14:textId="77777777" w:rsidR="00EE4807" w:rsidRPr="0068509C" w:rsidRDefault="00EE4807" w:rsidP="000C59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Flipped</w:t>
            </w:r>
          </w:p>
        </w:tc>
        <w:tc>
          <w:tcPr>
            <w:tcW w:w="2367" w:type="dxa"/>
            <w:shd w:val="clear" w:color="auto" w:fill="auto"/>
          </w:tcPr>
          <w:p w14:paraId="2AD30C75" w14:textId="1349EC0C" w:rsidR="00EE4807" w:rsidRPr="0068509C" w:rsidRDefault="00EE4807" w:rsidP="000C59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Typical</w:t>
            </w:r>
          </w:p>
        </w:tc>
        <w:tc>
          <w:tcPr>
            <w:tcW w:w="2367" w:type="dxa"/>
            <w:shd w:val="clear" w:color="auto" w:fill="auto"/>
          </w:tcPr>
          <w:p w14:paraId="596E5C97" w14:textId="77777777" w:rsidR="00EE4807" w:rsidRPr="0068509C" w:rsidRDefault="00EE4807" w:rsidP="000C59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Demographic Survey</w:t>
            </w:r>
          </w:p>
          <w:p w14:paraId="79E2F5AD" w14:textId="77777777" w:rsidR="00EE4807" w:rsidRPr="0068509C" w:rsidRDefault="00EE4807" w:rsidP="000C59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Exam 1</w:t>
            </w:r>
          </w:p>
          <w:p w14:paraId="12F7F279" w14:textId="77777777" w:rsidR="00EE4807" w:rsidRPr="0068509C" w:rsidRDefault="00EE4807" w:rsidP="000C59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Social Validity</w:t>
            </w:r>
          </w:p>
          <w:p w14:paraId="1AACEE69" w14:textId="361006FD" w:rsidR="00EE4807" w:rsidRPr="0068509C" w:rsidRDefault="00EE4807" w:rsidP="000C594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rPr>
            </w:pPr>
            <w:r w:rsidRPr="0068509C">
              <w:rPr>
                <w:rFonts w:ascii="Times New Roman" w:hAnsi="Times New Roman" w:cs="Times New Roman"/>
              </w:rPr>
              <w:t>Attitude Measure (TATIS)</w:t>
            </w:r>
          </w:p>
          <w:p w14:paraId="0C313560" w14:textId="77777777" w:rsidR="00EE4807" w:rsidRPr="0068509C" w:rsidRDefault="00EE4807" w:rsidP="00FC77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E4807" w:rsidRPr="0068509C" w14:paraId="590C08BF" w14:textId="77777777" w:rsidTr="000C5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Borders>
              <w:bottom w:val="none" w:sz="0" w:space="0" w:color="auto"/>
              <w:right w:val="none" w:sz="0" w:space="0" w:color="auto"/>
            </w:tcBorders>
            <w:shd w:val="clear" w:color="auto" w:fill="auto"/>
          </w:tcPr>
          <w:p w14:paraId="6B4F257C" w14:textId="77777777" w:rsidR="00EE4807" w:rsidRPr="00BB4B5F" w:rsidRDefault="00EE4807" w:rsidP="00F62D9A">
            <w:pPr>
              <w:jc w:val="center"/>
              <w:rPr>
                <w:rFonts w:ascii="Times New Roman" w:hAnsi="Times New Roman" w:cs="Times New Roman"/>
              </w:rPr>
            </w:pPr>
            <w:r w:rsidRPr="00BB4B5F">
              <w:rPr>
                <w:rFonts w:ascii="Times New Roman" w:hAnsi="Times New Roman" w:cs="Times New Roman"/>
              </w:rPr>
              <w:t>Unit 2</w:t>
            </w:r>
          </w:p>
          <w:p w14:paraId="565DFD42" w14:textId="77777777" w:rsidR="00EE4807" w:rsidRPr="00BB4B5F" w:rsidRDefault="00EE4807" w:rsidP="00F62D9A">
            <w:pPr>
              <w:jc w:val="center"/>
              <w:rPr>
                <w:rFonts w:ascii="Times New Roman" w:hAnsi="Times New Roman" w:cs="Times New Roman"/>
                <w:b w:val="0"/>
              </w:rPr>
            </w:pPr>
            <w:r w:rsidRPr="00BB4B5F">
              <w:rPr>
                <w:rFonts w:ascii="Times New Roman" w:hAnsi="Times New Roman" w:cs="Times New Roman"/>
                <w:b w:val="0"/>
              </w:rPr>
              <w:t>(4 weeks)</w:t>
            </w:r>
          </w:p>
          <w:p w14:paraId="6EC9A683" w14:textId="77777777" w:rsidR="00EE4807" w:rsidRPr="00BB4B5F" w:rsidRDefault="00EE4807" w:rsidP="00F62D9A">
            <w:pPr>
              <w:jc w:val="center"/>
              <w:rPr>
                <w:rFonts w:ascii="Times New Roman" w:hAnsi="Times New Roman" w:cs="Times New Roman"/>
                <w:b w:val="0"/>
              </w:rPr>
            </w:pPr>
            <w:r w:rsidRPr="00BB4B5F">
              <w:rPr>
                <w:rFonts w:ascii="Times New Roman" w:hAnsi="Times New Roman" w:cs="Times New Roman"/>
                <w:b w:val="0"/>
              </w:rPr>
              <w:t>Categorical Disability Descriptions</w:t>
            </w:r>
          </w:p>
          <w:p w14:paraId="4905F21D" w14:textId="77777777" w:rsidR="00EE4807" w:rsidRPr="0068509C" w:rsidRDefault="00EE4807" w:rsidP="00F62D9A">
            <w:pPr>
              <w:rPr>
                <w:rFonts w:ascii="Times New Roman" w:hAnsi="Times New Roman" w:cs="Times New Roman"/>
              </w:rPr>
            </w:pPr>
          </w:p>
        </w:tc>
        <w:tc>
          <w:tcPr>
            <w:tcW w:w="2367" w:type="dxa"/>
            <w:tcBorders>
              <w:left w:val="none" w:sz="0" w:space="0" w:color="auto"/>
              <w:right w:val="none" w:sz="0" w:space="0" w:color="auto"/>
            </w:tcBorders>
            <w:shd w:val="clear" w:color="auto" w:fill="auto"/>
          </w:tcPr>
          <w:p w14:paraId="04262C90" w14:textId="15F15504" w:rsidR="00EE4807" w:rsidRPr="0068509C" w:rsidRDefault="00EE4807" w:rsidP="000C59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Typical</w:t>
            </w:r>
          </w:p>
        </w:tc>
        <w:tc>
          <w:tcPr>
            <w:tcW w:w="2367" w:type="dxa"/>
            <w:tcBorders>
              <w:left w:val="none" w:sz="0" w:space="0" w:color="auto"/>
              <w:right w:val="none" w:sz="0" w:space="0" w:color="auto"/>
            </w:tcBorders>
            <w:shd w:val="clear" w:color="auto" w:fill="auto"/>
          </w:tcPr>
          <w:p w14:paraId="4788449D" w14:textId="77777777" w:rsidR="00EE4807" w:rsidRPr="0068509C" w:rsidRDefault="00EE4807" w:rsidP="000C59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Flipped</w:t>
            </w:r>
          </w:p>
        </w:tc>
        <w:tc>
          <w:tcPr>
            <w:tcW w:w="2367" w:type="dxa"/>
            <w:tcBorders>
              <w:left w:val="none" w:sz="0" w:space="0" w:color="auto"/>
            </w:tcBorders>
            <w:shd w:val="clear" w:color="auto" w:fill="auto"/>
          </w:tcPr>
          <w:p w14:paraId="5C9A7545" w14:textId="77777777" w:rsidR="00EE4807" w:rsidRPr="0068509C" w:rsidRDefault="00EE4807" w:rsidP="000C59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Exam 2</w:t>
            </w:r>
          </w:p>
          <w:p w14:paraId="2C91D0C7" w14:textId="77777777" w:rsidR="00EE4807" w:rsidRPr="0068509C" w:rsidRDefault="00EE4807" w:rsidP="000C59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Social Validity</w:t>
            </w:r>
          </w:p>
          <w:p w14:paraId="71032DAB" w14:textId="77777777" w:rsidR="00EE4807" w:rsidRPr="0068509C" w:rsidRDefault="00EE4807" w:rsidP="000C59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Attitude Measure (TATIS)</w:t>
            </w:r>
          </w:p>
          <w:p w14:paraId="21FBEEFC" w14:textId="77777777" w:rsidR="00EE4807" w:rsidRPr="0068509C" w:rsidRDefault="00EE4807" w:rsidP="00FC77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E4807" w:rsidRPr="0068509C" w14:paraId="33FFDAC8" w14:textId="77777777" w:rsidTr="000C594D">
        <w:tc>
          <w:tcPr>
            <w:cnfStyle w:val="001000000000" w:firstRow="0" w:lastRow="0" w:firstColumn="1" w:lastColumn="0" w:oddVBand="0" w:evenVBand="0" w:oddHBand="0" w:evenHBand="0" w:firstRowFirstColumn="0" w:firstRowLastColumn="0" w:lastRowFirstColumn="0" w:lastRowLastColumn="0"/>
            <w:tcW w:w="2367" w:type="dxa"/>
            <w:tcBorders>
              <w:bottom w:val="single" w:sz="4" w:space="0" w:color="auto"/>
            </w:tcBorders>
            <w:shd w:val="clear" w:color="auto" w:fill="auto"/>
          </w:tcPr>
          <w:p w14:paraId="3DB86100" w14:textId="77777777" w:rsidR="00EE4807" w:rsidRPr="00BB4B5F" w:rsidRDefault="00EE4807" w:rsidP="00F62D9A">
            <w:pPr>
              <w:jc w:val="center"/>
              <w:rPr>
                <w:rFonts w:ascii="Times New Roman" w:hAnsi="Times New Roman" w:cs="Times New Roman"/>
              </w:rPr>
            </w:pPr>
            <w:r w:rsidRPr="00BB4B5F">
              <w:rPr>
                <w:rFonts w:ascii="Times New Roman" w:hAnsi="Times New Roman" w:cs="Times New Roman"/>
              </w:rPr>
              <w:t>Unit 3</w:t>
            </w:r>
          </w:p>
          <w:p w14:paraId="656E2021" w14:textId="77777777" w:rsidR="00EE4807" w:rsidRPr="00BB4B5F" w:rsidRDefault="00EE4807" w:rsidP="00F62D9A">
            <w:pPr>
              <w:jc w:val="center"/>
              <w:rPr>
                <w:rFonts w:ascii="Times New Roman" w:hAnsi="Times New Roman" w:cs="Times New Roman"/>
                <w:b w:val="0"/>
              </w:rPr>
            </w:pPr>
            <w:r w:rsidRPr="00BB4B5F">
              <w:rPr>
                <w:rFonts w:ascii="Times New Roman" w:hAnsi="Times New Roman" w:cs="Times New Roman"/>
                <w:b w:val="0"/>
              </w:rPr>
              <w:t>(4 weeks)</w:t>
            </w:r>
          </w:p>
          <w:p w14:paraId="67A5811F" w14:textId="1FE8DA73" w:rsidR="00EE4807" w:rsidRPr="0068509C" w:rsidRDefault="00EE4807" w:rsidP="000C594D">
            <w:pPr>
              <w:jc w:val="center"/>
              <w:rPr>
                <w:rFonts w:ascii="Times New Roman" w:eastAsiaTheme="minorEastAsia" w:hAnsi="Times New Roman" w:cs="Times New Roman"/>
                <w:b w:val="0"/>
                <w:bCs w:val="0"/>
                <w:color w:val="auto"/>
              </w:rPr>
            </w:pPr>
            <w:r w:rsidRPr="00BB4B5F">
              <w:rPr>
                <w:rFonts w:ascii="Times New Roman" w:hAnsi="Times New Roman" w:cs="Times New Roman"/>
                <w:b w:val="0"/>
              </w:rPr>
              <w:t>Categorical Disability Descriptions</w:t>
            </w:r>
          </w:p>
        </w:tc>
        <w:tc>
          <w:tcPr>
            <w:tcW w:w="2367" w:type="dxa"/>
            <w:tcBorders>
              <w:bottom w:val="single" w:sz="4" w:space="0" w:color="auto"/>
            </w:tcBorders>
            <w:shd w:val="clear" w:color="auto" w:fill="auto"/>
          </w:tcPr>
          <w:p w14:paraId="53577EF1" w14:textId="77777777" w:rsidR="00EE4807" w:rsidRPr="0068509C" w:rsidRDefault="00EE4807" w:rsidP="000C59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Flipped</w:t>
            </w:r>
          </w:p>
        </w:tc>
        <w:tc>
          <w:tcPr>
            <w:tcW w:w="2367" w:type="dxa"/>
            <w:tcBorders>
              <w:bottom w:val="single" w:sz="4" w:space="0" w:color="auto"/>
            </w:tcBorders>
            <w:shd w:val="clear" w:color="auto" w:fill="auto"/>
          </w:tcPr>
          <w:p w14:paraId="5EADC6FB" w14:textId="77777777" w:rsidR="00EE4807" w:rsidRPr="0068509C" w:rsidRDefault="00EE4807" w:rsidP="000C59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Typical</w:t>
            </w:r>
          </w:p>
        </w:tc>
        <w:tc>
          <w:tcPr>
            <w:tcW w:w="2367" w:type="dxa"/>
            <w:tcBorders>
              <w:bottom w:val="single" w:sz="4" w:space="0" w:color="auto"/>
            </w:tcBorders>
            <w:shd w:val="clear" w:color="auto" w:fill="auto"/>
          </w:tcPr>
          <w:p w14:paraId="55E20665" w14:textId="77777777" w:rsidR="00EE4807" w:rsidRPr="0068509C" w:rsidRDefault="00EE4807" w:rsidP="000C59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Exam 3</w:t>
            </w:r>
          </w:p>
          <w:p w14:paraId="5B1C2882" w14:textId="77777777" w:rsidR="00EE4807" w:rsidRPr="0068509C" w:rsidRDefault="00EE4807" w:rsidP="000C59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4F81BD" w:themeColor="accent1"/>
              </w:rPr>
            </w:pPr>
            <w:r w:rsidRPr="0068509C">
              <w:rPr>
                <w:rFonts w:ascii="Times New Roman" w:hAnsi="Times New Roman" w:cs="Times New Roman"/>
              </w:rPr>
              <w:t>Social Validity</w:t>
            </w:r>
          </w:p>
          <w:p w14:paraId="6C632E9B" w14:textId="43112CA4" w:rsidR="00EE4807" w:rsidRPr="0068509C" w:rsidRDefault="00EE4807" w:rsidP="00FC77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509C">
              <w:rPr>
                <w:rFonts w:ascii="Times New Roman" w:hAnsi="Times New Roman" w:cs="Times New Roman"/>
              </w:rPr>
              <w:t>Attitude Measure (TATIS)</w:t>
            </w:r>
          </w:p>
        </w:tc>
      </w:tr>
    </w:tbl>
    <w:p w14:paraId="7DB830AE" w14:textId="77777777" w:rsidR="0014128D" w:rsidRPr="00100D4A" w:rsidRDefault="0014128D" w:rsidP="00100D4A"/>
    <w:p w14:paraId="05C2BD12" w14:textId="5886980F" w:rsidR="00130B93" w:rsidRPr="00EA623B" w:rsidRDefault="00130B93" w:rsidP="00EA623B">
      <w:pPr>
        <w:spacing w:line="480" w:lineRule="auto"/>
      </w:pPr>
      <w:r>
        <w:rPr>
          <w:b/>
        </w:rPr>
        <w:t>Sample</w:t>
      </w:r>
    </w:p>
    <w:p w14:paraId="1ADC1CA8" w14:textId="41E7690C" w:rsidR="00130B93" w:rsidRDefault="00130B93" w:rsidP="00130B93">
      <w:pPr>
        <w:spacing w:line="480" w:lineRule="auto"/>
      </w:pPr>
      <w:r>
        <w:tab/>
        <w:t xml:space="preserve">The study investigated two sections of an undergraduate introductory course on exceptional students at a Midwestern University. </w:t>
      </w:r>
      <w:r w:rsidR="00975617">
        <w:t>Within t</w:t>
      </w:r>
      <w:r>
        <w:t xml:space="preserve">he first three weeks of class, instructors </w:t>
      </w:r>
      <w:r>
        <w:lastRenderedPageBreak/>
        <w:t xml:space="preserve">provided students with information about the study and an option to participate with signed consent. In total, </w:t>
      </w:r>
      <w:r w:rsidR="00D17969">
        <w:t>44</w:t>
      </w:r>
      <w:r>
        <w:t xml:space="preserve"> students out of </w:t>
      </w:r>
      <w:r w:rsidR="00D17969">
        <w:t>51</w:t>
      </w:r>
      <w:r>
        <w:t xml:space="preserve"> consented to participate in the study. The sample consisted of </w:t>
      </w:r>
      <w:r w:rsidR="00D17969">
        <w:t>36</w:t>
      </w:r>
      <w:r>
        <w:t xml:space="preserve"> females and eight males with </w:t>
      </w:r>
      <w:r w:rsidR="00D17969">
        <w:t xml:space="preserve">40 </w:t>
      </w:r>
      <w:r>
        <w:t xml:space="preserve">students </w:t>
      </w:r>
      <w:r w:rsidR="00EB594D">
        <w:t xml:space="preserve">that </w:t>
      </w:r>
      <w:r>
        <w:t>identif</w:t>
      </w:r>
      <w:r w:rsidR="00EB594D">
        <w:t>ied</w:t>
      </w:r>
      <w:r>
        <w:t xml:space="preserve"> as White, three identified as Hispanic, and one identified as </w:t>
      </w:r>
      <w:proofErr w:type="gramStart"/>
      <w:r>
        <w:t>Other</w:t>
      </w:r>
      <w:proofErr w:type="gramEnd"/>
      <w:r>
        <w:t xml:space="preserve">. Thirty juniors, eight seniors, two sophomores and two non-traditional students comprised the sample. While the participants came from a range of six majors in the School of Education (See Table </w:t>
      </w:r>
      <w:r w:rsidR="000D2B3C">
        <w:t>2</w:t>
      </w:r>
      <w:r>
        <w:t xml:space="preserve">), the </w:t>
      </w:r>
      <w:r w:rsidR="00D17969">
        <w:t xml:space="preserve">entire </w:t>
      </w:r>
      <w:r>
        <w:t>sample included pre</w:t>
      </w:r>
      <w:r w:rsidR="00D17969">
        <w:t>-</w:t>
      </w:r>
      <w:r>
        <w:t>service teachers in preparation for general education settings (e.g. elementary, secondary, music, health, etc.).</w:t>
      </w:r>
    </w:p>
    <w:p w14:paraId="37350BEF" w14:textId="65B5BD69" w:rsidR="00CB7A3E" w:rsidRDefault="00CB7A3E" w:rsidP="00CB7A3E">
      <w:r>
        <w:t xml:space="preserve">Table </w:t>
      </w:r>
      <w:r w:rsidR="0034020D">
        <w:t>2</w:t>
      </w:r>
    </w:p>
    <w:p w14:paraId="0917B1C2" w14:textId="77777777" w:rsidR="00CB7A3E" w:rsidRPr="00833588" w:rsidRDefault="00CB7A3E" w:rsidP="00CB7A3E">
      <w:pPr>
        <w:rPr>
          <w:i/>
        </w:rPr>
      </w:pPr>
      <w:r w:rsidRPr="00833588">
        <w:rPr>
          <w:i/>
        </w:rPr>
        <w:t>Identified Majors of Students in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790"/>
      </w:tblGrid>
      <w:tr w:rsidR="00CB7A3E" w14:paraId="338031E5" w14:textId="77777777" w:rsidTr="004E424E">
        <w:tc>
          <w:tcPr>
            <w:tcW w:w="3528" w:type="dxa"/>
            <w:tcBorders>
              <w:top w:val="single" w:sz="4" w:space="0" w:color="auto"/>
              <w:bottom w:val="single" w:sz="4" w:space="0" w:color="auto"/>
            </w:tcBorders>
          </w:tcPr>
          <w:p w14:paraId="6D0B2276" w14:textId="77777777" w:rsidR="00CB7A3E" w:rsidRDefault="00CB7A3E" w:rsidP="004E424E">
            <w:pPr>
              <w:jc w:val="center"/>
            </w:pPr>
            <w:r>
              <w:t>Major</w:t>
            </w:r>
          </w:p>
        </w:tc>
        <w:tc>
          <w:tcPr>
            <w:tcW w:w="2790" w:type="dxa"/>
            <w:tcBorders>
              <w:top w:val="single" w:sz="4" w:space="0" w:color="auto"/>
              <w:bottom w:val="single" w:sz="4" w:space="0" w:color="auto"/>
            </w:tcBorders>
          </w:tcPr>
          <w:p w14:paraId="5F35F18A" w14:textId="77777777" w:rsidR="00CB7A3E" w:rsidRDefault="00CB7A3E" w:rsidP="004E424E">
            <w:pPr>
              <w:jc w:val="center"/>
            </w:pPr>
            <w:r>
              <w:t>Number of Students</w:t>
            </w:r>
          </w:p>
        </w:tc>
      </w:tr>
      <w:tr w:rsidR="00CB7A3E" w14:paraId="565C1ABB" w14:textId="77777777" w:rsidTr="004E424E">
        <w:tc>
          <w:tcPr>
            <w:tcW w:w="3528" w:type="dxa"/>
            <w:tcBorders>
              <w:top w:val="single" w:sz="4" w:space="0" w:color="auto"/>
            </w:tcBorders>
          </w:tcPr>
          <w:p w14:paraId="5806F435" w14:textId="77777777" w:rsidR="00CB7A3E" w:rsidRDefault="00CB7A3E" w:rsidP="004E424E">
            <w:r>
              <w:t>Elementary Education</w:t>
            </w:r>
          </w:p>
        </w:tc>
        <w:tc>
          <w:tcPr>
            <w:tcW w:w="2790" w:type="dxa"/>
            <w:tcBorders>
              <w:top w:val="single" w:sz="4" w:space="0" w:color="auto"/>
            </w:tcBorders>
          </w:tcPr>
          <w:p w14:paraId="1DD3832D" w14:textId="77777777" w:rsidR="00CB7A3E" w:rsidRDefault="00CB7A3E" w:rsidP="004E424E">
            <w:pPr>
              <w:jc w:val="center"/>
            </w:pPr>
            <w:r>
              <w:t>22</w:t>
            </w:r>
          </w:p>
        </w:tc>
      </w:tr>
      <w:tr w:rsidR="00CB7A3E" w14:paraId="2B06202F" w14:textId="77777777" w:rsidTr="004E424E">
        <w:tc>
          <w:tcPr>
            <w:tcW w:w="3528" w:type="dxa"/>
          </w:tcPr>
          <w:p w14:paraId="267A596B" w14:textId="77777777" w:rsidR="00CB7A3E" w:rsidRDefault="00CB7A3E" w:rsidP="004E424E">
            <w:r>
              <w:t>Music Education</w:t>
            </w:r>
          </w:p>
        </w:tc>
        <w:tc>
          <w:tcPr>
            <w:tcW w:w="2790" w:type="dxa"/>
          </w:tcPr>
          <w:p w14:paraId="3EC51D69" w14:textId="77777777" w:rsidR="00CB7A3E" w:rsidRDefault="00CB7A3E" w:rsidP="004E424E">
            <w:pPr>
              <w:jc w:val="center"/>
            </w:pPr>
            <w:r>
              <w:t>13</w:t>
            </w:r>
          </w:p>
        </w:tc>
      </w:tr>
      <w:tr w:rsidR="00CB7A3E" w14:paraId="03F9B9C5" w14:textId="77777777" w:rsidTr="004E424E">
        <w:tc>
          <w:tcPr>
            <w:tcW w:w="3528" w:type="dxa"/>
          </w:tcPr>
          <w:p w14:paraId="250D7927" w14:textId="77777777" w:rsidR="00CB7A3E" w:rsidRDefault="00CB7A3E" w:rsidP="004E424E">
            <w:r>
              <w:t>Secondary Education</w:t>
            </w:r>
          </w:p>
        </w:tc>
        <w:tc>
          <w:tcPr>
            <w:tcW w:w="2790" w:type="dxa"/>
          </w:tcPr>
          <w:p w14:paraId="10ED8AFD" w14:textId="77777777" w:rsidR="00CB7A3E" w:rsidRDefault="00CB7A3E" w:rsidP="004E424E">
            <w:pPr>
              <w:jc w:val="center"/>
            </w:pPr>
            <w:r>
              <w:t>3</w:t>
            </w:r>
          </w:p>
        </w:tc>
      </w:tr>
      <w:tr w:rsidR="00CB7A3E" w14:paraId="72D0D153" w14:textId="77777777" w:rsidTr="004E424E">
        <w:tc>
          <w:tcPr>
            <w:tcW w:w="3528" w:type="dxa"/>
          </w:tcPr>
          <w:p w14:paraId="1E587457" w14:textId="77777777" w:rsidR="00CB7A3E" w:rsidRDefault="00CB7A3E" w:rsidP="004E424E">
            <w:r>
              <w:t>Visual Arts Education</w:t>
            </w:r>
          </w:p>
        </w:tc>
        <w:tc>
          <w:tcPr>
            <w:tcW w:w="2790" w:type="dxa"/>
          </w:tcPr>
          <w:p w14:paraId="4273E2CE" w14:textId="77777777" w:rsidR="00CB7A3E" w:rsidRDefault="00CB7A3E" w:rsidP="004E424E">
            <w:pPr>
              <w:jc w:val="center"/>
            </w:pPr>
            <w:r>
              <w:t>2</w:t>
            </w:r>
          </w:p>
        </w:tc>
      </w:tr>
      <w:tr w:rsidR="00CB7A3E" w14:paraId="3E11DD54" w14:textId="77777777" w:rsidTr="004E424E">
        <w:tc>
          <w:tcPr>
            <w:tcW w:w="3528" w:type="dxa"/>
          </w:tcPr>
          <w:p w14:paraId="4FFB4AD9" w14:textId="77777777" w:rsidR="00CB7A3E" w:rsidRDefault="00CB7A3E" w:rsidP="004E424E">
            <w:r>
              <w:t>Foreign Language Education</w:t>
            </w:r>
          </w:p>
        </w:tc>
        <w:tc>
          <w:tcPr>
            <w:tcW w:w="2790" w:type="dxa"/>
          </w:tcPr>
          <w:p w14:paraId="76733DAC" w14:textId="77777777" w:rsidR="00CB7A3E" w:rsidRDefault="00CB7A3E" w:rsidP="004E424E">
            <w:pPr>
              <w:jc w:val="center"/>
            </w:pPr>
            <w:r>
              <w:t>2</w:t>
            </w:r>
          </w:p>
        </w:tc>
      </w:tr>
      <w:tr w:rsidR="00CB7A3E" w14:paraId="125C7C25" w14:textId="77777777" w:rsidTr="004E424E">
        <w:tc>
          <w:tcPr>
            <w:tcW w:w="3528" w:type="dxa"/>
            <w:tcBorders>
              <w:bottom w:val="single" w:sz="4" w:space="0" w:color="auto"/>
            </w:tcBorders>
          </w:tcPr>
          <w:p w14:paraId="4E64C472" w14:textId="77777777" w:rsidR="00CB7A3E" w:rsidRDefault="00CB7A3E" w:rsidP="004E424E">
            <w:r>
              <w:t>Physical and Health Education</w:t>
            </w:r>
          </w:p>
        </w:tc>
        <w:tc>
          <w:tcPr>
            <w:tcW w:w="2790" w:type="dxa"/>
            <w:tcBorders>
              <w:bottom w:val="single" w:sz="4" w:space="0" w:color="auto"/>
            </w:tcBorders>
          </w:tcPr>
          <w:p w14:paraId="0AD11698" w14:textId="77777777" w:rsidR="00CB7A3E" w:rsidRDefault="00CB7A3E" w:rsidP="004E424E">
            <w:pPr>
              <w:jc w:val="center"/>
            </w:pPr>
            <w:r>
              <w:t>2</w:t>
            </w:r>
          </w:p>
        </w:tc>
      </w:tr>
    </w:tbl>
    <w:p w14:paraId="321DCB2D" w14:textId="77777777" w:rsidR="00BF24D6" w:rsidRDefault="00BF24D6" w:rsidP="009342FC">
      <w:pPr>
        <w:rPr>
          <w:b/>
        </w:rPr>
      </w:pPr>
    </w:p>
    <w:p w14:paraId="11BD931E" w14:textId="77777777" w:rsidR="00130B93" w:rsidRDefault="00130B93" w:rsidP="00BF24D6">
      <w:pPr>
        <w:spacing w:line="480" w:lineRule="auto"/>
        <w:rPr>
          <w:b/>
        </w:rPr>
      </w:pPr>
      <w:r>
        <w:rPr>
          <w:b/>
        </w:rPr>
        <w:t>Instructional Design</w:t>
      </w:r>
    </w:p>
    <w:p w14:paraId="30C1AB95" w14:textId="08304D00" w:rsidR="00130B93" w:rsidRDefault="00130B93" w:rsidP="00FC1484">
      <w:pPr>
        <w:spacing w:line="480" w:lineRule="auto"/>
      </w:pPr>
      <w:r>
        <w:tab/>
        <w:t xml:space="preserve">Researchers </w:t>
      </w:r>
      <w:r w:rsidR="000B05E7">
        <w:t>divided</w:t>
      </w:r>
      <w:r>
        <w:t xml:space="preserve"> the course</w:t>
      </w:r>
      <w:r w:rsidR="000B05E7">
        <w:t xml:space="preserve"> content</w:t>
      </w:r>
      <w:r>
        <w:t xml:space="preserve"> into three four</w:t>
      </w:r>
      <w:r w:rsidR="000C5C0D">
        <w:t>-</w:t>
      </w:r>
      <w:r>
        <w:t>week</w:t>
      </w:r>
      <w:r w:rsidR="000C5C0D">
        <w:t>-long</w:t>
      </w:r>
      <w:r>
        <w:t xml:space="preserve"> units throughout the study</w:t>
      </w:r>
      <w:r w:rsidR="005E45FF">
        <w:t xml:space="preserve"> (See </w:t>
      </w:r>
      <w:r w:rsidR="000D2B3C">
        <w:t>Table</w:t>
      </w:r>
      <w:r w:rsidR="005E45FF">
        <w:t xml:space="preserve"> 1)</w:t>
      </w:r>
      <w:r>
        <w:t>. Both</w:t>
      </w:r>
      <w:r w:rsidR="000C5C0D">
        <w:t xml:space="preserve"> course</w:t>
      </w:r>
      <w:r>
        <w:t xml:space="preserve"> sections covered the same content throughout each unit</w:t>
      </w:r>
      <w:r w:rsidR="000B05E7">
        <w:t>,</w:t>
      </w:r>
      <w:r>
        <w:t xml:space="preserve"> but differed on instructional method. </w:t>
      </w:r>
      <w:r w:rsidR="005959A4">
        <w:t xml:space="preserve">The instructional methods included flipped (treatment) and typical (control).  The typical instructional model followed a business as usual approach. </w:t>
      </w:r>
      <w:r>
        <w:t xml:space="preserve">Class 1 </w:t>
      </w:r>
      <w:r w:rsidR="000B05E7">
        <w:t xml:space="preserve">applied </w:t>
      </w:r>
      <w:r w:rsidR="005959A4">
        <w:t xml:space="preserve">a </w:t>
      </w:r>
      <w:r>
        <w:t xml:space="preserve">flipped </w:t>
      </w:r>
      <w:r w:rsidR="000B05E7">
        <w:t xml:space="preserve">instructional </w:t>
      </w:r>
      <w:r>
        <w:t xml:space="preserve">model in Units 1 and 3 and </w:t>
      </w:r>
      <w:r w:rsidR="000B05E7">
        <w:t xml:space="preserve">a </w:t>
      </w:r>
      <w:r>
        <w:t xml:space="preserve">typical </w:t>
      </w:r>
      <w:r w:rsidR="000B05E7">
        <w:t xml:space="preserve">instructional </w:t>
      </w:r>
      <w:r>
        <w:t xml:space="preserve">model in Unit 2. Class 2 </w:t>
      </w:r>
      <w:r w:rsidR="005959A4">
        <w:t>applied a</w:t>
      </w:r>
      <w:r>
        <w:t xml:space="preserve"> flipped </w:t>
      </w:r>
      <w:r w:rsidR="005959A4">
        <w:t xml:space="preserve">instructional </w:t>
      </w:r>
      <w:r>
        <w:t xml:space="preserve">model for Unit 2 and </w:t>
      </w:r>
      <w:r w:rsidR="005959A4">
        <w:t xml:space="preserve">a </w:t>
      </w:r>
      <w:r>
        <w:t>typical</w:t>
      </w:r>
      <w:r w:rsidR="005959A4">
        <w:t xml:space="preserve"> instructional</w:t>
      </w:r>
      <w:r>
        <w:t xml:space="preserve"> model for Units 1 and 3. </w:t>
      </w:r>
      <w:r w:rsidR="000733E6">
        <w:t xml:space="preserve">We believed it was critical to provide both classes with the treatment to ensure the </w:t>
      </w:r>
      <w:r w:rsidR="005B375F">
        <w:t xml:space="preserve">students met the goals of the course.  </w:t>
      </w:r>
      <w:r w:rsidR="00773F8E">
        <w:t xml:space="preserve">As discussed previously, research has shown flipped classrooms and opportunities to learn increase learning outcomes.  Ethically, it was important to give both classes the treatment to ensure the students were afforded equal opportunities to </w:t>
      </w:r>
      <w:r w:rsidR="00773F8E">
        <w:lastRenderedPageBreak/>
        <w:t xml:space="preserve">engage in collaborative, problem solving activities that we believed led to better teacher outcomes.  Further, providing both classes the treatment allowed us to control for instructor qualities and class composition.  If only one class had received the treatment it would have been </w:t>
      </w:r>
      <w:r w:rsidR="00A83D75">
        <w:t>challenging</w:t>
      </w:r>
      <w:r w:rsidR="00773F8E">
        <w:t xml:space="preserve"> to identify if the instructional method impacted the change or if teacher quality or class com</w:t>
      </w:r>
      <w:r w:rsidR="00A83D75">
        <w:t>position impacted the results</w:t>
      </w:r>
      <w:r w:rsidR="00773F8E">
        <w:t xml:space="preserve">.  Each class served as its own control by experiencing both the flipped and typical classroom instructional methods.  </w:t>
      </w:r>
      <w:r>
        <w:t xml:space="preserve">Unit 1 focused on frameworks for inclusion including Response to Intervention (RTI), Positive Behavior Interventions and Supports (PBIS), culturally responsive instruction, and partnering with families. Unit 2 and Unit 3 concentrated on the thirteen categorical disabilities identified by IDEA. </w:t>
      </w:r>
    </w:p>
    <w:p w14:paraId="10E04A20" w14:textId="2CF7E262" w:rsidR="00130B93" w:rsidRPr="00534669" w:rsidRDefault="005959A4" w:rsidP="00130B93">
      <w:pPr>
        <w:spacing w:line="480" w:lineRule="auto"/>
        <w:ind w:firstLine="720"/>
      </w:pPr>
      <w:r>
        <w:t>The researchers defined typical instruction model as 50% or more teacher-led instructional time, which included lecture, question and response</w:t>
      </w:r>
      <w:r w:rsidR="00EB594D">
        <w:t>,</w:t>
      </w:r>
      <w:r>
        <w:t xml:space="preserve"> and video</w:t>
      </w:r>
      <w:r w:rsidR="00EB594D">
        <w:t>s</w:t>
      </w:r>
      <w:r>
        <w:t xml:space="preserve">. </w:t>
      </w:r>
      <w:r w:rsidR="00953962">
        <w:t>Outside of class, instructors assigned a chapter from t</w:t>
      </w:r>
      <w:r w:rsidR="00F3063F">
        <w:t>he course textbook along with a</w:t>
      </w:r>
      <w:r w:rsidR="00953962">
        <w:t xml:space="preserve"> written activity. </w:t>
      </w:r>
      <w:r w:rsidR="00130B93">
        <w:t xml:space="preserve">The flipped instructional model consisted of </w:t>
      </w:r>
      <w:r>
        <w:t>5%</w:t>
      </w:r>
      <w:r w:rsidR="00130B93">
        <w:t xml:space="preserve"> or less </w:t>
      </w:r>
      <w:r>
        <w:t>teacher</w:t>
      </w:r>
      <w:r w:rsidR="00130B93">
        <w:t>-led instruction</w:t>
      </w:r>
      <w:r>
        <w:t>al time</w:t>
      </w:r>
      <w:r w:rsidR="00130B93">
        <w:t xml:space="preserve">. During the remaining </w:t>
      </w:r>
      <w:r>
        <w:t>95%</w:t>
      </w:r>
      <w:r w:rsidR="00130B93">
        <w:t xml:space="preserve"> of class</w:t>
      </w:r>
      <w:r>
        <w:t xml:space="preserve"> time</w:t>
      </w:r>
      <w:r w:rsidR="00130B93">
        <w:t>, the students engaged in a variety of student</w:t>
      </w:r>
      <w:r w:rsidR="00953962">
        <w:t>-</w:t>
      </w:r>
      <w:r w:rsidR="00130B93">
        <w:t>led activities such as teach-backs, lesson planning exercises, fish bowl discussions, case study problem solving activities, debates, and IRIS generated activities. Outside of class, students read the same textbook chapter as in the typical instruction but completed a corresponding IRIS module and application assignment.</w:t>
      </w:r>
      <w:r w:rsidR="00130B93" w:rsidRPr="004C6ECD">
        <w:t xml:space="preserve"> </w:t>
      </w:r>
    </w:p>
    <w:p w14:paraId="07885CAF" w14:textId="77777777" w:rsidR="00130B93" w:rsidRPr="004C6ECD" w:rsidRDefault="00130B93" w:rsidP="00130B93">
      <w:pPr>
        <w:spacing w:line="480" w:lineRule="auto"/>
        <w:rPr>
          <w:b/>
        </w:rPr>
      </w:pPr>
      <w:r>
        <w:rPr>
          <w:b/>
        </w:rPr>
        <w:t>Measures</w:t>
      </w:r>
      <w:r>
        <w:t xml:space="preserve"> </w:t>
      </w:r>
    </w:p>
    <w:p w14:paraId="3EEB683B" w14:textId="59A96649" w:rsidR="00130B93" w:rsidRDefault="00E4601E" w:rsidP="009342FC">
      <w:pPr>
        <w:spacing w:line="480" w:lineRule="auto"/>
        <w:ind w:firstLine="720"/>
      </w:pPr>
      <w:r>
        <w:t xml:space="preserve">A total of five measures were administered in the study. </w:t>
      </w:r>
      <w:r w:rsidR="00130B93">
        <w:t>At the time of consent, students completed a demographic survey</w:t>
      </w:r>
      <w:r w:rsidR="00295FFA">
        <w:t xml:space="preserve">, asking </w:t>
      </w:r>
      <w:r w:rsidR="00EB594D">
        <w:t>them</w:t>
      </w:r>
      <w:r w:rsidR="00130B93">
        <w:t xml:space="preserve"> to identify their race, gender, major, year of education, preferred grade level to teach </w:t>
      </w:r>
      <w:r w:rsidR="00295FFA">
        <w:t>post-graduation</w:t>
      </w:r>
      <w:r w:rsidR="00130B93">
        <w:t xml:space="preserve">, and preferred </w:t>
      </w:r>
      <w:r w:rsidR="00295FFA">
        <w:t xml:space="preserve">teaching </w:t>
      </w:r>
      <w:r w:rsidR="00130B93">
        <w:t xml:space="preserve">location to teach </w:t>
      </w:r>
      <w:r w:rsidR="00295FFA">
        <w:t>post-graduation</w:t>
      </w:r>
      <w:r w:rsidR="00130B93">
        <w:t xml:space="preserve">. Students </w:t>
      </w:r>
      <w:r w:rsidR="00295FFA">
        <w:t>were also given the opportunity to</w:t>
      </w:r>
      <w:r w:rsidR="00130B93">
        <w:t xml:space="preserve"> identif</w:t>
      </w:r>
      <w:r w:rsidR="00295FFA">
        <w:t xml:space="preserve">y and elaborate on their relationships with individuals with disabilities (i.e., whether </w:t>
      </w:r>
      <w:r w:rsidR="00130B93">
        <w:t xml:space="preserve">they had a family member with a </w:t>
      </w:r>
      <w:r w:rsidR="00130B93">
        <w:lastRenderedPageBreak/>
        <w:t>disability</w:t>
      </w:r>
      <w:r w:rsidR="00295FFA">
        <w:t xml:space="preserve"> or had previously </w:t>
      </w:r>
      <w:r w:rsidR="00130B93">
        <w:t>work</w:t>
      </w:r>
      <w:r w:rsidR="00295FFA">
        <w:t>ed</w:t>
      </w:r>
      <w:r w:rsidR="00130B93">
        <w:t xml:space="preserve"> with an individual with a disability</w:t>
      </w:r>
      <w:r w:rsidR="00295FFA">
        <w:t>)</w:t>
      </w:r>
      <w:r w:rsidR="00130B93">
        <w:t>.</w:t>
      </w:r>
      <w:r w:rsidR="00715201">
        <w:t xml:space="preserve"> </w:t>
      </w:r>
      <w:r w:rsidR="00130B93">
        <w:t>We</w:t>
      </w:r>
      <w:r w:rsidR="00715201">
        <w:t xml:space="preserve"> also</w:t>
      </w:r>
      <w:r w:rsidR="00130B93">
        <w:t xml:space="preserve"> administered the Teacher Attitudes Towards Inclusion Scale (TATIS) </w:t>
      </w:r>
      <w:r w:rsidR="00BC1AB1">
        <w:t>(Cullen, Gregory, &amp; Noto, 2010)</w:t>
      </w:r>
      <w:r w:rsidR="00B22288">
        <w:t xml:space="preserve"> </w:t>
      </w:r>
      <w:r w:rsidR="00130B93">
        <w:t xml:space="preserve">as a standardized attitude measure during consenting procedures and </w:t>
      </w:r>
      <w:r w:rsidR="00295FFA">
        <w:t xml:space="preserve">directly </w:t>
      </w:r>
      <w:r w:rsidR="00130B93">
        <w:t xml:space="preserve">after each unit for a total of four points </w:t>
      </w:r>
      <w:r w:rsidR="00295FFA">
        <w:t xml:space="preserve">throughout </w:t>
      </w:r>
      <w:r w:rsidR="00130B93">
        <w:t>the study. The measure consis</w:t>
      </w:r>
      <w:r w:rsidR="00295FFA">
        <w:t>t</w:t>
      </w:r>
      <w:r w:rsidR="00A126E9">
        <w:t>ed</w:t>
      </w:r>
      <w:r w:rsidR="00130B93">
        <w:t xml:space="preserve"> of fourteen statements rated on a </w:t>
      </w:r>
      <w:r>
        <w:t xml:space="preserve">7-point </w:t>
      </w:r>
      <w:r w:rsidR="00130B93">
        <w:t xml:space="preserve">Likert scale with 1 meaning </w:t>
      </w:r>
      <w:r w:rsidR="00295FFA">
        <w:t>“</w:t>
      </w:r>
      <w:r w:rsidR="00130B93">
        <w:t>agree very strongly</w:t>
      </w:r>
      <w:r w:rsidR="00295FFA">
        <w:t>”</w:t>
      </w:r>
      <w:r w:rsidR="00130B93">
        <w:t xml:space="preserve"> and 7 meaning </w:t>
      </w:r>
      <w:r w:rsidR="00295FFA">
        <w:t>“</w:t>
      </w:r>
      <w:r w:rsidR="00130B93">
        <w:t>disagree very strongly</w:t>
      </w:r>
      <w:r w:rsidR="00295FFA">
        <w:t>”</w:t>
      </w:r>
      <w:r w:rsidR="00130B93">
        <w:t>. Questions 1-6 stated pro-inclusion sentences, questions 7-10 stated pro-continuum sentences</w:t>
      </w:r>
      <w:r w:rsidR="00A126E9">
        <w:t xml:space="preserve"> (supporting specialized instruction for individuals with disabilities including separate educational settings)</w:t>
      </w:r>
      <w:r w:rsidR="00130B93">
        <w:t>, and questions 11-14 indicated pro-collaboration statements</w:t>
      </w:r>
      <w:r w:rsidR="00A126E9">
        <w:t xml:space="preserve"> (supporting the collaboration between general education and special education teachers)</w:t>
      </w:r>
      <w:r w:rsidR="00130B93">
        <w:t xml:space="preserve">. </w:t>
      </w:r>
      <w:r w:rsidR="007D7682">
        <w:t>Content validity of the TATIS was examined using the Equamax method with Kaiser Normalization</w:t>
      </w:r>
      <w:r w:rsidR="00A126E9">
        <w:t>.  T</w:t>
      </w:r>
      <w:r w:rsidR="007D7682">
        <w:t xml:space="preserve">he components loadings showed a mean of 0.72 demonstrating that the TATIS aligned with the three factors identified in the literature (pro-inclusion, pro-continuum, pro-collaboration) that it was intended to measure. Moreover, the TATIS demonstrated reliability by using Chronbach’s alpha correlation procedure, which resulted in an overall correlation coefficient of 0.821. </w:t>
      </w:r>
      <w:r w:rsidR="00295FFA">
        <w:t xml:space="preserve">A </w:t>
      </w:r>
      <w:r w:rsidR="00130B93">
        <w:t>third measure ev</w:t>
      </w:r>
      <w:r w:rsidR="00606170">
        <w:t>aluated students’ knowledge of the five core practices</w:t>
      </w:r>
      <w:r w:rsidR="00130B93">
        <w:t xml:space="preserve">. The researchers developed </w:t>
      </w:r>
      <w:r>
        <w:t xml:space="preserve">content-based knowledge </w:t>
      </w:r>
      <w:r w:rsidR="00130B93">
        <w:t>assessments using twenty multiple</w:t>
      </w:r>
      <w:r w:rsidR="00EB594D">
        <w:t>-</w:t>
      </w:r>
      <w:r w:rsidR="00130B93">
        <w:t>choice</w:t>
      </w:r>
      <w:r>
        <w:t>, true-false,</w:t>
      </w:r>
      <w:r w:rsidR="00130B93">
        <w:t xml:space="preserve"> and matching questions </w:t>
      </w:r>
      <w:r>
        <w:t>based on information in</w:t>
      </w:r>
      <w:r w:rsidR="00130B93">
        <w:t xml:space="preserve"> the textbook. The</w:t>
      </w:r>
      <w:r>
        <w:t>se</w:t>
      </w:r>
      <w:r w:rsidR="00130B93">
        <w:t xml:space="preserve"> knowledge assessments were </w:t>
      </w:r>
      <w:r>
        <w:t xml:space="preserve">administered </w:t>
      </w:r>
      <w:r w:rsidR="00130B93">
        <w:t>at the end of each unit, for a total of three points during the study.</w:t>
      </w:r>
      <w:r w:rsidR="00A126E9">
        <w:t xml:space="preserve">  T</w:t>
      </w:r>
      <w:r w:rsidR="00130B93">
        <w:t>he</w:t>
      </w:r>
      <w:r w:rsidR="00AF7783">
        <w:t xml:space="preserve"> fourth </w:t>
      </w:r>
      <w:r w:rsidR="00A126E9">
        <w:t>assessment was</w:t>
      </w:r>
      <w:r w:rsidR="00130B93">
        <w:t xml:space="preserve"> application </w:t>
      </w:r>
      <w:r w:rsidR="00A126E9">
        <w:t>based</w:t>
      </w:r>
      <w:r w:rsidR="00EB594D">
        <w:t xml:space="preserve"> written exam</w:t>
      </w:r>
      <w:r w:rsidR="00A126E9">
        <w:t xml:space="preserve"> that </w:t>
      </w:r>
      <w:r w:rsidR="00130B93">
        <w:t xml:space="preserve">evaluated students’ ability to apply </w:t>
      </w:r>
      <w:r w:rsidR="00BB5505">
        <w:t>core</w:t>
      </w:r>
      <w:r w:rsidR="00130B93">
        <w:t xml:space="preserve"> practices </w:t>
      </w:r>
      <w:r>
        <w:t>with</w:t>
      </w:r>
      <w:r w:rsidR="00130B93">
        <w:t>in a lesson plan</w:t>
      </w:r>
      <w:r>
        <w:t>, as well as their</w:t>
      </w:r>
      <w:r w:rsidR="00130B93">
        <w:t xml:space="preserve"> problem</w:t>
      </w:r>
      <w:r>
        <w:t>-</w:t>
      </w:r>
      <w:r w:rsidR="00130B93">
        <w:t xml:space="preserve">solving capacity based on realistic scenarios. At the end of each unit, students completed the application assessment at the same time as the knowledge assessment. In addition to the use of </w:t>
      </w:r>
      <w:r w:rsidR="00BB5505">
        <w:t>core</w:t>
      </w:r>
      <w:r w:rsidR="00130B93">
        <w:t xml:space="preserve"> practices, the application assessment gave pre</w:t>
      </w:r>
      <w:r>
        <w:t>-</w:t>
      </w:r>
      <w:r w:rsidR="00130B93">
        <w:t xml:space="preserve">service </w:t>
      </w:r>
      <w:r w:rsidR="00130B93">
        <w:lastRenderedPageBreak/>
        <w:t xml:space="preserve">teachers the opportunity to demonstrate their understanding of the inclusive frameworks presented in Unit 1. </w:t>
      </w:r>
    </w:p>
    <w:p w14:paraId="680A6677" w14:textId="65213379" w:rsidR="00130B93" w:rsidRPr="005250F2" w:rsidRDefault="00130B93" w:rsidP="00130B93">
      <w:pPr>
        <w:spacing w:line="480" w:lineRule="auto"/>
      </w:pPr>
      <w:r>
        <w:rPr>
          <w:b/>
        </w:rPr>
        <w:tab/>
      </w:r>
      <w:r>
        <w:t>The final measure, a social validity survey, evaluated students’ satisfaction with the method of instruction. Students completed this measure three times throughout the study, rat</w:t>
      </w:r>
      <w:r w:rsidR="00E4601E">
        <w:t>ing</w:t>
      </w:r>
      <w:r>
        <w:t xml:space="preserve"> nine statements on a </w:t>
      </w:r>
      <w:r w:rsidR="00E4601E">
        <w:t>5-</w:t>
      </w:r>
      <w:r w:rsidR="009D1DEB">
        <w:t>point Likert scale with one</w:t>
      </w:r>
      <w:r>
        <w:t xml:space="preserve"> representing strongly disagree and </w:t>
      </w:r>
      <w:r w:rsidR="009D1DEB">
        <w:t xml:space="preserve">five </w:t>
      </w:r>
      <w:r>
        <w:t>representing strongly agree. The questions included statements about preparedness for the exam, matching of instruction to learning style, and general impressions about instructional method. The tenth question on the survey asked students to provide additional comments and feedback.</w:t>
      </w:r>
    </w:p>
    <w:p w14:paraId="7209C48F" w14:textId="77777777" w:rsidR="00130B93" w:rsidRDefault="00130B93" w:rsidP="00130B93">
      <w:pPr>
        <w:spacing w:line="480" w:lineRule="auto"/>
        <w:rPr>
          <w:b/>
        </w:rPr>
      </w:pPr>
      <w:r>
        <w:rPr>
          <w:b/>
        </w:rPr>
        <w:t>Data Analysis</w:t>
      </w:r>
    </w:p>
    <w:p w14:paraId="7BC6A046" w14:textId="5F627438" w:rsidR="00130B93" w:rsidRPr="00130B93" w:rsidRDefault="00130B93" w:rsidP="00130B93">
      <w:pPr>
        <w:spacing w:line="480" w:lineRule="auto"/>
      </w:pPr>
      <w:r>
        <w:tab/>
        <w:t xml:space="preserve">Our three research questions drove our analysis to investigate the effects of the flipped classroom on knowledge of </w:t>
      </w:r>
      <w:r w:rsidR="00EE1092">
        <w:t>core practices</w:t>
      </w:r>
      <w:r>
        <w:t>, application of content, and attitudes towards inclusion and collaboration. We used ordinary least squares (OLS) regression to analyze the data</w:t>
      </w:r>
      <w:r w:rsidR="009D0650">
        <w:t xml:space="preserve"> using STATA </w:t>
      </w:r>
      <w:r w:rsidR="00E14447">
        <w:t xml:space="preserve">software.  </w:t>
      </w:r>
      <w:r>
        <w:t>This method allowed us to control for demographic variables and determine if the flipped classroom model predicted knowledge, application, and attitudes.</w:t>
      </w:r>
      <w:r w:rsidR="007B4866">
        <w:t xml:space="preserve"> </w:t>
      </w:r>
      <w:r>
        <w:t xml:space="preserve">The following section discusses the analysis in more detail </w:t>
      </w:r>
      <w:r w:rsidR="00F77D8B">
        <w:t>including</w:t>
      </w:r>
      <w:r>
        <w:t xml:space="preserve"> variable selection and </w:t>
      </w:r>
      <w:r w:rsidR="00F77D8B">
        <w:t>results</w:t>
      </w:r>
      <w:r>
        <w:t xml:space="preserve">.   </w:t>
      </w:r>
    </w:p>
    <w:p w14:paraId="0DFFA73A" w14:textId="77777777" w:rsidR="00130B93" w:rsidRDefault="00130B93" w:rsidP="00130B93">
      <w:pPr>
        <w:jc w:val="center"/>
        <w:rPr>
          <w:b/>
        </w:rPr>
      </w:pPr>
      <w:r>
        <w:rPr>
          <w:b/>
        </w:rPr>
        <w:t>Results</w:t>
      </w:r>
    </w:p>
    <w:p w14:paraId="23BF110C" w14:textId="77777777" w:rsidR="00130B93" w:rsidRDefault="00130B93" w:rsidP="00130B93">
      <w:pPr>
        <w:rPr>
          <w:b/>
        </w:rPr>
      </w:pPr>
    </w:p>
    <w:p w14:paraId="3AB55E93" w14:textId="07097355" w:rsidR="00FA3714" w:rsidRDefault="00130B93" w:rsidP="00F01CBA">
      <w:pPr>
        <w:spacing w:line="480" w:lineRule="auto"/>
        <w:ind w:firstLine="720"/>
        <w:rPr>
          <w:b/>
        </w:rPr>
      </w:pPr>
      <w:r>
        <w:t xml:space="preserve">Our study addressed three research questions in the initial analysis of the data: (a) </w:t>
      </w:r>
      <w:r w:rsidR="007B4866">
        <w:t>W</w:t>
      </w:r>
      <w:r>
        <w:t xml:space="preserve">hat is the effect of the flipped classroom instructional model on students’ knowledge acquisition of </w:t>
      </w:r>
      <w:r w:rsidR="00916953">
        <w:t>core practices</w:t>
      </w:r>
      <w:r w:rsidR="007B4866">
        <w:t>?;</w:t>
      </w:r>
      <w:r>
        <w:t xml:space="preserve"> (b) </w:t>
      </w:r>
      <w:r w:rsidR="007B4866">
        <w:t>W</w:t>
      </w:r>
      <w:r>
        <w:t xml:space="preserve">hat is the effect of the flipped classroom instructional model on students’ ability to apply </w:t>
      </w:r>
      <w:r w:rsidR="00916953">
        <w:t xml:space="preserve">core </w:t>
      </w:r>
      <w:r w:rsidR="00A06F9A">
        <w:t>practices</w:t>
      </w:r>
      <w:r>
        <w:t xml:space="preserve"> for exceptional students in their lesson planning</w:t>
      </w:r>
      <w:r w:rsidR="007B4866">
        <w:t>?;</w:t>
      </w:r>
      <w:r>
        <w:t xml:space="preserve"> and (c) </w:t>
      </w:r>
      <w:r w:rsidR="007B4866">
        <w:t>W</w:t>
      </w:r>
      <w:r>
        <w:t xml:space="preserve">hat is the effect of the flipped classroom instructional model on students’ attitudes towards inclusion and collaboration?  To address each question, we ran several different analyses while controlling </w:t>
      </w:r>
      <w:r>
        <w:lastRenderedPageBreak/>
        <w:t>for demographic variables.</w:t>
      </w:r>
      <w:r w:rsidR="007B4866">
        <w:t xml:space="preserve"> </w:t>
      </w:r>
      <w:r>
        <w:t xml:space="preserve">The following describes each of the research questions and </w:t>
      </w:r>
      <w:r w:rsidR="009D1DEB">
        <w:t xml:space="preserve">the data analysis process. </w:t>
      </w:r>
    </w:p>
    <w:p w14:paraId="6846639B" w14:textId="75D859CD" w:rsidR="00130B93" w:rsidRDefault="00130B93" w:rsidP="00130B93">
      <w:pPr>
        <w:spacing w:line="480" w:lineRule="auto"/>
        <w:rPr>
          <w:b/>
        </w:rPr>
      </w:pPr>
      <w:r>
        <w:rPr>
          <w:b/>
        </w:rPr>
        <w:t xml:space="preserve">Knowledge and Application of </w:t>
      </w:r>
      <w:r w:rsidR="00FF1429">
        <w:rPr>
          <w:b/>
        </w:rPr>
        <w:t>Core Practices</w:t>
      </w:r>
    </w:p>
    <w:p w14:paraId="6F682D76" w14:textId="2C89D2E3" w:rsidR="00130B93" w:rsidRPr="00FF62F6" w:rsidRDefault="00130B93" w:rsidP="00130B93">
      <w:pPr>
        <w:spacing w:line="480" w:lineRule="auto"/>
      </w:pPr>
      <w:r>
        <w:tab/>
        <w:t>The first data model tested</w:t>
      </w:r>
      <w:r w:rsidR="00DE0208">
        <w:t xml:space="preserve"> whether</w:t>
      </w:r>
      <w:r>
        <w:t xml:space="preserve"> having more of the treatment (flipped classroom) affected score</w:t>
      </w:r>
      <w:r w:rsidR="00DE0208">
        <w:t>s</w:t>
      </w:r>
      <w:r>
        <w:t xml:space="preserve"> on the </w:t>
      </w:r>
      <w:r w:rsidR="00E75B5C">
        <w:t>core practices</w:t>
      </w:r>
      <w:r>
        <w:t xml:space="preserve"> portion of the exams, and the second compared the two classes’</w:t>
      </w:r>
      <w:r w:rsidR="00DE0208">
        <w:t xml:space="preserve"> knowledge about</w:t>
      </w:r>
      <w:r>
        <w:t xml:space="preserve"> </w:t>
      </w:r>
      <w:r w:rsidR="00E75B5C">
        <w:t>core practices</w:t>
      </w:r>
      <w:r>
        <w:t xml:space="preserve"> at each of the testing periods (after exam 1, exam 2, and exam 3). The second analysis addressed the students’ application of </w:t>
      </w:r>
      <w:r w:rsidR="00E533F9">
        <w:t>core practices</w:t>
      </w:r>
      <w:r>
        <w:t xml:space="preserve"> while controlling for demographic variables and used scores from the application portion of the exam as the outcomes variable. Neither model showed any significance</w:t>
      </w:r>
      <w:r w:rsidR="00DE0208">
        <w:t>;</w:t>
      </w:r>
      <w:r>
        <w:t xml:space="preserve"> therefore</w:t>
      </w:r>
      <w:r w:rsidR="00FA3714">
        <w:t>,</w:t>
      </w:r>
      <w:r>
        <w:t xml:space="preserve"> </w:t>
      </w:r>
      <w:r w:rsidR="00FF6576">
        <w:t xml:space="preserve">we concluded </w:t>
      </w:r>
      <w:r>
        <w:t xml:space="preserve">the flipped classroom had no effect on the acquisition or application of </w:t>
      </w:r>
      <w:r w:rsidR="001434A4">
        <w:t>core practices</w:t>
      </w:r>
      <w:r w:rsidR="00FF6576">
        <w:t xml:space="preserve"> for the sample students</w:t>
      </w:r>
      <w:r>
        <w:t xml:space="preserve">. Thus, our analysis nullified our hypothesis that the flipped classroom would increase students’ knowledge acquisition and application of </w:t>
      </w:r>
      <w:r w:rsidR="00E533F9">
        <w:t>core practices</w:t>
      </w:r>
      <w:r>
        <w:t xml:space="preserve">.  Next </w:t>
      </w:r>
      <w:r w:rsidR="00675C69">
        <w:t>we turn</w:t>
      </w:r>
      <w:r w:rsidR="00FA3714">
        <w:t>ed</w:t>
      </w:r>
      <w:r w:rsidR="00675C69">
        <w:t xml:space="preserve"> </w:t>
      </w:r>
      <w:r>
        <w:t xml:space="preserve">our attention towards the attitudes of the students in the study.  </w:t>
      </w:r>
    </w:p>
    <w:p w14:paraId="0AA50740" w14:textId="77777777" w:rsidR="00130B93" w:rsidRDefault="00130B93" w:rsidP="00130B93">
      <w:pPr>
        <w:spacing w:line="480" w:lineRule="auto"/>
        <w:rPr>
          <w:b/>
        </w:rPr>
      </w:pPr>
      <w:r>
        <w:rPr>
          <w:b/>
        </w:rPr>
        <w:t xml:space="preserve">Student Attitudes </w:t>
      </w:r>
    </w:p>
    <w:p w14:paraId="7813CDA1" w14:textId="38F6367D" w:rsidR="00130B93" w:rsidRDefault="00130B93" w:rsidP="00130B93">
      <w:pPr>
        <w:spacing w:line="480" w:lineRule="auto"/>
      </w:pPr>
      <w:r>
        <w:tab/>
        <w:t>Students’ took the TATIS on four occasions across the study. The first data point occurred at the beginning of the study in order to capture attitudes of students before they received exposure to content or engaged in activities designed to promote inclusive attitudes.  The next three data points transpired at the end of each exam: after seven weeks in the course (exam 1), after eleven weeks in the course (exam 2), and the final attitudes at the end of the sixteen</w:t>
      </w:r>
      <w:r w:rsidR="00FA3714">
        <w:t>-</w:t>
      </w:r>
      <w:r>
        <w:t xml:space="preserve">week course (exam 3). The ambiguous language of the pro-continuum statements showed most students chose a neutral position throughout the course and the questions were dropped from the analysis. </w:t>
      </w:r>
      <w:r w:rsidR="00675C69">
        <w:t>We describe our analysis and results of</w:t>
      </w:r>
      <w:r>
        <w:t xml:space="preserve"> the pro-inclusion and pro-collaboration </w:t>
      </w:r>
      <w:r w:rsidR="00675C69">
        <w:t>statements in the next sections</w:t>
      </w:r>
      <w:r>
        <w:t xml:space="preserve">. </w:t>
      </w:r>
    </w:p>
    <w:p w14:paraId="0EFEC2F7" w14:textId="52C5EC70" w:rsidR="007B3697" w:rsidRPr="005E4744" w:rsidRDefault="00130B93" w:rsidP="005B0A50">
      <w:pPr>
        <w:spacing w:line="480" w:lineRule="auto"/>
        <w:ind w:firstLine="720"/>
      </w:pPr>
      <w:r>
        <w:rPr>
          <w:b/>
        </w:rPr>
        <w:lastRenderedPageBreak/>
        <w:t>Pro-inclusion attitudes.</w:t>
      </w:r>
      <w:r>
        <w:t xml:space="preserve">  The next models fitted predicted pro-inclusion attitudes at the end of the course while controlling for demographic variables including having a family member with a disability, working with an individual with a disability, and gender. We first analyzed both classes together adding in the variables in one block (See Table </w:t>
      </w:r>
      <w:r w:rsidR="00AC7982">
        <w:t>3</w:t>
      </w:r>
      <w:r>
        <w:t xml:space="preserve">). The model was significant (p &lt; .01) as well as the two variables: attitudes at seven weeks (p &lt; .01) and attitudes at eleven weeks (p &lt; .05). </w:t>
      </w:r>
    </w:p>
    <w:p w14:paraId="770DCC8D" w14:textId="0E0C7070" w:rsidR="00523F99" w:rsidRDefault="00523F99" w:rsidP="00523F99">
      <w:r>
        <w:t xml:space="preserve">Table </w:t>
      </w:r>
      <w:r w:rsidR="0034020D">
        <w:t>3</w:t>
      </w:r>
    </w:p>
    <w:p w14:paraId="676D2F1D" w14:textId="77777777" w:rsidR="00523F99" w:rsidRPr="000A3D7D" w:rsidRDefault="00523F99" w:rsidP="00523F99">
      <w:pPr>
        <w:rPr>
          <w:i/>
        </w:rPr>
      </w:pPr>
      <w:r w:rsidRPr="000A3D7D">
        <w:rPr>
          <w:i/>
        </w:rPr>
        <w:t>Effects on Pro-Inclusion Attitudes at Course Completion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2570"/>
        <w:gridCol w:w="1250"/>
      </w:tblGrid>
      <w:tr w:rsidR="00523F99" w14:paraId="2E59A036" w14:textId="77777777" w:rsidTr="004E424E">
        <w:tc>
          <w:tcPr>
            <w:tcW w:w="4568" w:type="dxa"/>
            <w:tcBorders>
              <w:top w:val="single" w:sz="4" w:space="0" w:color="auto"/>
              <w:bottom w:val="single" w:sz="4" w:space="0" w:color="auto"/>
            </w:tcBorders>
          </w:tcPr>
          <w:p w14:paraId="62B548F8" w14:textId="77777777" w:rsidR="00523F99" w:rsidRDefault="00523F99" w:rsidP="004E424E">
            <w:r>
              <w:t>Variable Name</w:t>
            </w:r>
          </w:p>
        </w:tc>
        <w:tc>
          <w:tcPr>
            <w:tcW w:w="2570" w:type="dxa"/>
            <w:tcBorders>
              <w:top w:val="single" w:sz="4" w:space="0" w:color="auto"/>
              <w:bottom w:val="single" w:sz="4" w:space="0" w:color="auto"/>
            </w:tcBorders>
          </w:tcPr>
          <w:p w14:paraId="5FBD3F56" w14:textId="77777777" w:rsidR="00523F99" w:rsidRDefault="00523F99" w:rsidP="004E424E">
            <w:r>
              <w:t>Beta</w:t>
            </w:r>
          </w:p>
        </w:tc>
        <w:tc>
          <w:tcPr>
            <w:tcW w:w="1250" w:type="dxa"/>
            <w:tcBorders>
              <w:top w:val="single" w:sz="4" w:space="0" w:color="auto"/>
              <w:bottom w:val="single" w:sz="4" w:space="0" w:color="auto"/>
            </w:tcBorders>
          </w:tcPr>
          <w:p w14:paraId="7A33BFFF" w14:textId="77777777" w:rsidR="00523F99" w:rsidRDefault="00523F99" w:rsidP="004E424E">
            <w:r>
              <w:t>SE</w:t>
            </w:r>
          </w:p>
        </w:tc>
      </w:tr>
      <w:tr w:rsidR="00523F99" w14:paraId="0627EAAB" w14:textId="77777777" w:rsidTr="004E424E">
        <w:tc>
          <w:tcPr>
            <w:tcW w:w="4568" w:type="dxa"/>
            <w:tcBorders>
              <w:top w:val="single" w:sz="4" w:space="0" w:color="auto"/>
            </w:tcBorders>
          </w:tcPr>
          <w:p w14:paraId="3F63F3C9" w14:textId="77777777" w:rsidR="00523F99" w:rsidRDefault="00523F99" w:rsidP="004E424E">
            <w:r>
              <w:t>Family member with a disability</w:t>
            </w:r>
          </w:p>
        </w:tc>
        <w:tc>
          <w:tcPr>
            <w:tcW w:w="2570" w:type="dxa"/>
            <w:tcBorders>
              <w:top w:val="single" w:sz="4" w:space="0" w:color="auto"/>
            </w:tcBorders>
          </w:tcPr>
          <w:p w14:paraId="788C3A63" w14:textId="77777777" w:rsidR="00523F99" w:rsidRDefault="00523F99" w:rsidP="004E424E">
            <w:r>
              <w:t xml:space="preserve"> .021</w:t>
            </w:r>
          </w:p>
        </w:tc>
        <w:tc>
          <w:tcPr>
            <w:tcW w:w="1250" w:type="dxa"/>
            <w:tcBorders>
              <w:top w:val="single" w:sz="4" w:space="0" w:color="auto"/>
            </w:tcBorders>
          </w:tcPr>
          <w:p w14:paraId="36A8D609" w14:textId="77777777" w:rsidR="00523F99" w:rsidRDefault="00523F99" w:rsidP="004E424E">
            <w:r>
              <w:t>.218</w:t>
            </w:r>
          </w:p>
        </w:tc>
      </w:tr>
      <w:tr w:rsidR="00523F99" w14:paraId="506A10D3" w14:textId="77777777" w:rsidTr="004E424E">
        <w:tc>
          <w:tcPr>
            <w:tcW w:w="4568" w:type="dxa"/>
          </w:tcPr>
          <w:p w14:paraId="44625BF7" w14:textId="77777777" w:rsidR="00523F99" w:rsidRDefault="00523F99" w:rsidP="004E424E">
            <w:r>
              <w:t>Worked with an individual with a disability</w:t>
            </w:r>
          </w:p>
        </w:tc>
        <w:tc>
          <w:tcPr>
            <w:tcW w:w="2570" w:type="dxa"/>
          </w:tcPr>
          <w:p w14:paraId="0C6EF544" w14:textId="77777777" w:rsidR="00523F99" w:rsidRDefault="00523F99" w:rsidP="004E424E">
            <w:r>
              <w:t xml:space="preserve"> .049</w:t>
            </w:r>
          </w:p>
        </w:tc>
        <w:tc>
          <w:tcPr>
            <w:tcW w:w="1250" w:type="dxa"/>
          </w:tcPr>
          <w:p w14:paraId="17C3DFB6" w14:textId="77777777" w:rsidR="00523F99" w:rsidRDefault="00523F99" w:rsidP="004E424E">
            <w:r>
              <w:t>.197</w:t>
            </w:r>
          </w:p>
        </w:tc>
      </w:tr>
      <w:tr w:rsidR="00523F99" w14:paraId="081FD493" w14:textId="77777777" w:rsidTr="004E424E">
        <w:tc>
          <w:tcPr>
            <w:tcW w:w="4568" w:type="dxa"/>
          </w:tcPr>
          <w:p w14:paraId="101441FA" w14:textId="77777777" w:rsidR="00523F99" w:rsidRDefault="00523F99" w:rsidP="004E424E">
            <w:r>
              <w:t>Gender</w:t>
            </w:r>
          </w:p>
        </w:tc>
        <w:tc>
          <w:tcPr>
            <w:tcW w:w="2570" w:type="dxa"/>
          </w:tcPr>
          <w:p w14:paraId="7433C6B2" w14:textId="77777777" w:rsidR="00523F99" w:rsidRDefault="00523F99" w:rsidP="004E424E">
            <w:r>
              <w:t>-.032</w:t>
            </w:r>
          </w:p>
        </w:tc>
        <w:tc>
          <w:tcPr>
            <w:tcW w:w="1250" w:type="dxa"/>
          </w:tcPr>
          <w:p w14:paraId="015A8152" w14:textId="77777777" w:rsidR="00523F99" w:rsidRDefault="00523F99" w:rsidP="004E424E">
            <w:r>
              <w:t>.210</w:t>
            </w:r>
          </w:p>
        </w:tc>
      </w:tr>
      <w:tr w:rsidR="00523F99" w14:paraId="0520DA53" w14:textId="77777777" w:rsidTr="004E424E">
        <w:tc>
          <w:tcPr>
            <w:tcW w:w="4568" w:type="dxa"/>
          </w:tcPr>
          <w:p w14:paraId="482ABE34" w14:textId="77777777" w:rsidR="00523F99" w:rsidRDefault="00523F99" w:rsidP="004E424E">
            <w:r>
              <w:t>Initial attitudes of pro-inclusion</w:t>
            </w:r>
          </w:p>
        </w:tc>
        <w:tc>
          <w:tcPr>
            <w:tcW w:w="2570" w:type="dxa"/>
          </w:tcPr>
          <w:p w14:paraId="2ACFBC14" w14:textId="77777777" w:rsidR="00523F99" w:rsidRDefault="00523F99" w:rsidP="004E424E">
            <w:r>
              <w:t xml:space="preserve"> .209</w:t>
            </w:r>
          </w:p>
        </w:tc>
        <w:tc>
          <w:tcPr>
            <w:tcW w:w="1250" w:type="dxa"/>
          </w:tcPr>
          <w:p w14:paraId="7E6F0BB3" w14:textId="77777777" w:rsidR="00523F99" w:rsidRDefault="00523F99" w:rsidP="004E424E">
            <w:r>
              <w:t>.147</w:t>
            </w:r>
          </w:p>
        </w:tc>
      </w:tr>
      <w:tr w:rsidR="00523F99" w14:paraId="40BCD9EC" w14:textId="77777777" w:rsidTr="004E424E">
        <w:tc>
          <w:tcPr>
            <w:tcW w:w="4568" w:type="dxa"/>
          </w:tcPr>
          <w:p w14:paraId="58646536" w14:textId="77777777" w:rsidR="00523F99" w:rsidRDefault="00523F99" w:rsidP="004E424E">
            <w:r>
              <w:t>Attitudes of pro-inclusion at 7 weeks</w:t>
            </w:r>
          </w:p>
        </w:tc>
        <w:tc>
          <w:tcPr>
            <w:tcW w:w="2570" w:type="dxa"/>
          </w:tcPr>
          <w:p w14:paraId="1E8BB843" w14:textId="77777777" w:rsidR="00523F99" w:rsidRDefault="00523F99" w:rsidP="004E424E">
            <w:r>
              <w:t xml:space="preserve"> .408**</w:t>
            </w:r>
          </w:p>
        </w:tc>
        <w:tc>
          <w:tcPr>
            <w:tcW w:w="1250" w:type="dxa"/>
          </w:tcPr>
          <w:p w14:paraId="7128AE8A" w14:textId="77777777" w:rsidR="00523F99" w:rsidRDefault="00523F99" w:rsidP="004E424E">
            <w:r>
              <w:t>.159</w:t>
            </w:r>
          </w:p>
        </w:tc>
      </w:tr>
      <w:tr w:rsidR="00523F99" w14:paraId="26D4629F" w14:textId="77777777" w:rsidTr="004E424E">
        <w:tc>
          <w:tcPr>
            <w:tcW w:w="4568" w:type="dxa"/>
          </w:tcPr>
          <w:p w14:paraId="2800FAE4" w14:textId="77777777" w:rsidR="00523F99" w:rsidRDefault="00523F99" w:rsidP="004E424E">
            <w:r>
              <w:t>Attitudes of pro-inclusion at 11 weeks</w:t>
            </w:r>
          </w:p>
        </w:tc>
        <w:tc>
          <w:tcPr>
            <w:tcW w:w="2570" w:type="dxa"/>
          </w:tcPr>
          <w:p w14:paraId="48A5D398" w14:textId="77777777" w:rsidR="00523F99" w:rsidRDefault="00523F99" w:rsidP="004E424E">
            <w:r>
              <w:t xml:space="preserve"> .412*</w:t>
            </w:r>
          </w:p>
        </w:tc>
        <w:tc>
          <w:tcPr>
            <w:tcW w:w="1250" w:type="dxa"/>
          </w:tcPr>
          <w:p w14:paraId="1CB35519" w14:textId="77777777" w:rsidR="00523F99" w:rsidRDefault="00523F99" w:rsidP="004E424E">
            <w:r>
              <w:t>.153</w:t>
            </w:r>
          </w:p>
        </w:tc>
      </w:tr>
      <w:tr w:rsidR="00523F99" w14:paraId="16F4289D" w14:textId="77777777" w:rsidTr="004E424E">
        <w:tc>
          <w:tcPr>
            <w:tcW w:w="4568" w:type="dxa"/>
            <w:tcBorders>
              <w:bottom w:val="single" w:sz="4" w:space="0" w:color="auto"/>
            </w:tcBorders>
          </w:tcPr>
          <w:p w14:paraId="3CD82CA1" w14:textId="77777777" w:rsidR="00523F99" w:rsidRPr="00020C7B" w:rsidRDefault="00523F99" w:rsidP="004E424E">
            <w:pPr>
              <w:rPr>
                <w:vertAlign w:val="superscript"/>
              </w:rPr>
            </w:pPr>
            <w:r>
              <w:t>R</w:t>
            </w:r>
            <w:r>
              <w:rPr>
                <w:vertAlign w:val="superscript"/>
              </w:rPr>
              <w:t>2</w:t>
            </w:r>
          </w:p>
        </w:tc>
        <w:tc>
          <w:tcPr>
            <w:tcW w:w="2570" w:type="dxa"/>
            <w:tcBorders>
              <w:bottom w:val="single" w:sz="4" w:space="0" w:color="auto"/>
            </w:tcBorders>
          </w:tcPr>
          <w:p w14:paraId="4C34DF2D" w14:textId="77777777" w:rsidR="00523F99" w:rsidRDefault="00523F99" w:rsidP="004E424E">
            <w:r>
              <w:t xml:space="preserve"> .628**</w:t>
            </w:r>
          </w:p>
        </w:tc>
        <w:tc>
          <w:tcPr>
            <w:tcW w:w="1250" w:type="dxa"/>
            <w:tcBorders>
              <w:bottom w:val="single" w:sz="4" w:space="0" w:color="auto"/>
            </w:tcBorders>
          </w:tcPr>
          <w:p w14:paraId="23628E27" w14:textId="77777777" w:rsidR="00523F99" w:rsidRDefault="00523F99" w:rsidP="004E424E"/>
        </w:tc>
      </w:tr>
    </w:tbl>
    <w:p w14:paraId="2FC6DC96" w14:textId="77777777" w:rsidR="00523F99" w:rsidRDefault="00523F99" w:rsidP="00523F99">
      <w:r>
        <w:t>* Significant at the .050 level</w:t>
      </w:r>
    </w:p>
    <w:p w14:paraId="7B094041" w14:textId="77777777" w:rsidR="00523F99" w:rsidRDefault="00523F99" w:rsidP="00523F99">
      <w:r>
        <w:t>** Significant at the .010 level</w:t>
      </w:r>
    </w:p>
    <w:p w14:paraId="7F1D8AEC" w14:textId="77777777" w:rsidR="00FA3714" w:rsidRDefault="00FA3714" w:rsidP="009342FC"/>
    <w:p w14:paraId="14175FCE" w14:textId="3058586C" w:rsidR="00287D01" w:rsidRDefault="00130B93" w:rsidP="00FA3714">
      <w:pPr>
        <w:spacing w:line="480" w:lineRule="auto"/>
      </w:pPr>
      <w:r>
        <w:t xml:space="preserve">These results led us to </w:t>
      </w:r>
      <w:r w:rsidR="00085EF0">
        <w:t xml:space="preserve">conduct an </w:t>
      </w:r>
      <w:r>
        <w:t>analy</w:t>
      </w:r>
      <w:r w:rsidR="00085EF0">
        <w:t>sis for</w:t>
      </w:r>
      <w:r>
        <w:t xml:space="preserve"> each class using a step-wise regression model. The first model controlled for the demographic variables and the initial attitudes of pro-inclusion. In the second model, attitudes at seven weeks were added. Then, the third model added attitudes at eleven weeks as the final variable. Results for Class 1, the group that followed a flipped</w:t>
      </w:r>
      <w:r w:rsidR="00C5356C">
        <w:t>—</w:t>
      </w:r>
      <w:r>
        <w:t>typical</w:t>
      </w:r>
      <w:r w:rsidR="00C5356C">
        <w:t>—</w:t>
      </w:r>
      <w:r>
        <w:t xml:space="preserve">flipped instructional model, </w:t>
      </w:r>
      <w:r w:rsidR="00C5356C">
        <w:t>can be seen</w:t>
      </w:r>
      <w:r>
        <w:t xml:space="preserve"> in Table </w:t>
      </w:r>
      <w:r w:rsidR="00AC7982">
        <w:t>4</w:t>
      </w:r>
      <w:r>
        <w:t xml:space="preserve">.  In model 1, one of the control variables showed significance (p &lt; .05) in negatively predicting the final attitudes towards inclusion.  However, in models 2 and 3, the attitudes at seven weeks demonstrated significance (p &lt; .05) in predicting the final attitudes.  </w:t>
      </w:r>
    </w:p>
    <w:p w14:paraId="4DB3F6E4" w14:textId="4844E7F9" w:rsidR="008819D6" w:rsidRDefault="008819D6" w:rsidP="008819D6">
      <w:r>
        <w:t xml:space="preserve">Table </w:t>
      </w:r>
      <w:r w:rsidR="0034020D">
        <w:t>4</w:t>
      </w:r>
    </w:p>
    <w:p w14:paraId="0C135C01" w14:textId="77777777" w:rsidR="008819D6" w:rsidRPr="000A3D7D" w:rsidRDefault="008819D6" w:rsidP="008819D6">
      <w:pPr>
        <w:rPr>
          <w:i/>
        </w:rPr>
      </w:pPr>
      <w:r w:rsidRPr="000A3D7D">
        <w:rPr>
          <w:i/>
        </w:rPr>
        <w:t>Effects on Pro-Inclusion Attitudes at Course Completion for Class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1079"/>
        <w:gridCol w:w="1079"/>
        <w:gridCol w:w="1079"/>
        <w:gridCol w:w="1079"/>
        <w:gridCol w:w="1079"/>
        <w:gridCol w:w="1080"/>
      </w:tblGrid>
      <w:tr w:rsidR="008819D6" w14:paraId="17709EA5" w14:textId="77777777" w:rsidTr="004E424E">
        <w:tc>
          <w:tcPr>
            <w:tcW w:w="3101" w:type="dxa"/>
            <w:tcBorders>
              <w:top w:val="single" w:sz="4" w:space="0" w:color="auto"/>
            </w:tcBorders>
          </w:tcPr>
          <w:p w14:paraId="5DBD374D" w14:textId="77777777" w:rsidR="008819D6" w:rsidRDefault="008819D6" w:rsidP="004E424E">
            <w:r>
              <w:t>Variable Name</w:t>
            </w:r>
          </w:p>
        </w:tc>
        <w:tc>
          <w:tcPr>
            <w:tcW w:w="2158" w:type="dxa"/>
            <w:gridSpan w:val="2"/>
            <w:tcBorders>
              <w:top w:val="single" w:sz="4" w:space="0" w:color="auto"/>
            </w:tcBorders>
          </w:tcPr>
          <w:p w14:paraId="3EFF73DE" w14:textId="77777777" w:rsidR="008819D6" w:rsidRDefault="008819D6" w:rsidP="004E424E">
            <w:pPr>
              <w:jc w:val="center"/>
            </w:pPr>
            <w:r>
              <w:t>Model 1</w:t>
            </w:r>
          </w:p>
        </w:tc>
        <w:tc>
          <w:tcPr>
            <w:tcW w:w="2158" w:type="dxa"/>
            <w:gridSpan w:val="2"/>
            <w:tcBorders>
              <w:top w:val="single" w:sz="4" w:space="0" w:color="auto"/>
            </w:tcBorders>
          </w:tcPr>
          <w:p w14:paraId="690CDEE4" w14:textId="77777777" w:rsidR="008819D6" w:rsidRDefault="008819D6" w:rsidP="004E424E">
            <w:pPr>
              <w:jc w:val="center"/>
            </w:pPr>
            <w:r>
              <w:t>Model 2</w:t>
            </w:r>
          </w:p>
        </w:tc>
        <w:tc>
          <w:tcPr>
            <w:tcW w:w="2159" w:type="dxa"/>
            <w:gridSpan w:val="2"/>
            <w:tcBorders>
              <w:top w:val="single" w:sz="4" w:space="0" w:color="auto"/>
            </w:tcBorders>
          </w:tcPr>
          <w:p w14:paraId="2DCFC977" w14:textId="77777777" w:rsidR="008819D6" w:rsidRDefault="008819D6" w:rsidP="004E424E">
            <w:pPr>
              <w:jc w:val="center"/>
            </w:pPr>
            <w:r>
              <w:t>Model 3</w:t>
            </w:r>
          </w:p>
        </w:tc>
      </w:tr>
      <w:tr w:rsidR="008819D6" w14:paraId="5328E265" w14:textId="77777777" w:rsidTr="004E424E">
        <w:tc>
          <w:tcPr>
            <w:tcW w:w="3101" w:type="dxa"/>
            <w:tcBorders>
              <w:bottom w:val="single" w:sz="4" w:space="0" w:color="auto"/>
            </w:tcBorders>
          </w:tcPr>
          <w:p w14:paraId="5682CD32" w14:textId="77777777" w:rsidR="008819D6" w:rsidRDefault="008819D6" w:rsidP="004E424E"/>
        </w:tc>
        <w:tc>
          <w:tcPr>
            <w:tcW w:w="1079" w:type="dxa"/>
            <w:tcBorders>
              <w:bottom w:val="single" w:sz="4" w:space="0" w:color="auto"/>
            </w:tcBorders>
          </w:tcPr>
          <w:p w14:paraId="7306EC46" w14:textId="77777777" w:rsidR="008819D6" w:rsidRDefault="008819D6" w:rsidP="004E424E">
            <w:r>
              <w:t>Beta</w:t>
            </w:r>
          </w:p>
        </w:tc>
        <w:tc>
          <w:tcPr>
            <w:tcW w:w="1079" w:type="dxa"/>
            <w:tcBorders>
              <w:bottom w:val="single" w:sz="4" w:space="0" w:color="auto"/>
            </w:tcBorders>
          </w:tcPr>
          <w:p w14:paraId="6BA335F5" w14:textId="77777777" w:rsidR="008819D6" w:rsidRDefault="008819D6" w:rsidP="004E424E">
            <w:r>
              <w:t>SE</w:t>
            </w:r>
          </w:p>
        </w:tc>
        <w:tc>
          <w:tcPr>
            <w:tcW w:w="1079" w:type="dxa"/>
            <w:tcBorders>
              <w:bottom w:val="single" w:sz="4" w:space="0" w:color="auto"/>
            </w:tcBorders>
          </w:tcPr>
          <w:p w14:paraId="6F59F402" w14:textId="77777777" w:rsidR="008819D6" w:rsidRDefault="008819D6" w:rsidP="004E424E">
            <w:r>
              <w:t>Beta</w:t>
            </w:r>
          </w:p>
        </w:tc>
        <w:tc>
          <w:tcPr>
            <w:tcW w:w="1079" w:type="dxa"/>
            <w:tcBorders>
              <w:bottom w:val="single" w:sz="4" w:space="0" w:color="auto"/>
            </w:tcBorders>
          </w:tcPr>
          <w:p w14:paraId="68F2E23E" w14:textId="77777777" w:rsidR="008819D6" w:rsidRDefault="008819D6" w:rsidP="004E424E">
            <w:r>
              <w:t>SE</w:t>
            </w:r>
          </w:p>
        </w:tc>
        <w:tc>
          <w:tcPr>
            <w:tcW w:w="1079" w:type="dxa"/>
            <w:tcBorders>
              <w:bottom w:val="single" w:sz="4" w:space="0" w:color="auto"/>
            </w:tcBorders>
          </w:tcPr>
          <w:p w14:paraId="48DE458E" w14:textId="77777777" w:rsidR="008819D6" w:rsidRDefault="008819D6" w:rsidP="004E424E">
            <w:r>
              <w:t>Beta</w:t>
            </w:r>
          </w:p>
        </w:tc>
        <w:tc>
          <w:tcPr>
            <w:tcW w:w="1080" w:type="dxa"/>
            <w:tcBorders>
              <w:bottom w:val="single" w:sz="4" w:space="0" w:color="auto"/>
            </w:tcBorders>
          </w:tcPr>
          <w:p w14:paraId="121F3B0B" w14:textId="77777777" w:rsidR="008819D6" w:rsidRDefault="008819D6" w:rsidP="004E424E">
            <w:r>
              <w:t>SE</w:t>
            </w:r>
          </w:p>
        </w:tc>
      </w:tr>
      <w:tr w:rsidR="008819D6" w14:paraId="6A768692" w14:textId="77777777" w:rsidTr="004E424E">
        <w:tc>
          <w:tcPr>
            <w:tcW w:w="3101" w:type="dxa"/>
            <w:tcBorders>
              <w:top w:val="single" w:sz="4" w:space="0" w:color="auto"/>
            </w:tcBorders>
          </w:tcPr>
          <w:p w14:paraId="62822EE1" w14:textId="77777777" w:rsidR="008819D6" w:rsidRDefault="008819D6" w:rsidP="004E424E">
            <w:r>
              <w:t xml:space="preserve">Family member with a </w:t>
            </w:r>
            <w:r>
              <w:lastRenderedPageBreak/>
              <w:t>disability</w:t>
            </w:r>
          </w:p>
        </w:tc>
        <w:tc>
          <w:tcPr>
            <w:tcW w:w="1079" w:type="dxa"/>
            <w:tcBorders>
              <w:top w:val="single" w:sz="4" w:space="0" w:color="auto"/>
            </w:tcBorders>
          </w:tcPr>
          <w:p w14:paraId="374D670C" w14:textId="77777777" w:rsidR="008819D6" w:rsidRDefault="008819D6" w:rsidP="004E424E">
            <w:r>
              <w:lastRenderedPageBreak/>
              <w:t>-.302</w:t>
            </w:r>
          </w:p>
        </w:tc>
        <w:tc>
          <w:tcPr>
            <w:tcW w:w="1079" w:type="dxa"/>
            <w:tcBorders>
              <w:top w:val="single" w:sz="4" w:space="0" w:color="auto"/>
            </w:tcBorders>
          </w:tcPr>
          <w:p w14:paraId="2F77141F" w14:textId="77777777" w:rsidR="008819D6" w:rsidRDefault="008819D6" w:rsidP="004E424E">
            <w:r>
              <w:t>.337</w:t>
            </w:r>
          </w:p>
        </w:tc>
        <w:tc>
          <w:tcPr>
            <w:tcW w:w="1079" w:type="dxa"/>
            <w:tcBorders>
              <w:top w:val="single" w:sz="4" w:space="0" w:color="auto"/>
            </w:tcBorders>
          </w:tcPr>
          <w:p w14:paraId="064BBE29" w14:textId="77777777" w:rsidR="008819D6" w:rsidRDefault="008819D6" w:rsidP="004E424E">
            <w:r>
              <w:t>-.290</w:t>
            </w:r>
          </w:p>
        </w:tc>
        <w:tc>
          <w:tcPr>
            <w:tcW w:w="1079" w:type="dxa"/>
            <w:tcBorders>
              <w:top w:val="single" w:sz="4" w:space="0" w:color="auto"/>
            </w:tcBorders>
          </w:tcPr>
          <w:p w14:paraId="22CAD6A8" w14:textId="77777777" w:rsidR="008819D6" w:rsidRDefault="008819D6" w:rsidP="004E424E">
            <w:r>
              <w:t>.272</w:t>
            </w:r>
          </w:p>
        </w:tc>
        <w:tc>
          <w:tcPr>
            <w:tcW w:w="1079" w:type="dxa"/>
            <w:tcBorders>
              <w:top w:val="single" w:sz="4" w:space="0" w:color="auto"/>
            </w:tcBorders>
          </w:tcPr>
          <w:p w14:paraId="5A99A181" w14:textId="77777777" w:rsidR="008819D6" w:rsidRDefault="008819D6" w:rsidP="004E424E">
            <w:r>
              <w:t>-.265</w:t>
            </w:r>
          </w:p>
        </w:tc>
        <w:tc>
          <w:tcPr>
            <w:tcW w:w="1080" w:type="dxa"/>
            <w:tcBorders>
              <w:top w:val="single" w:sz="4" w:space="0" w:color="auto"/>
            </w:tcBorders>
          </w:tcPr>
          <w:p w14:paraId="52D5ADB9" w14:textId="77777777" w:rsidR="008819D6" w:rsidRDefault="008819D6" w:rsidP="004E424E">
            <w:r>
              <w:t>.454</w:t>
            </w:r>
          </w:p>
        </w:tc>
      </w:tr>
      <w:tr w:rsidR="008819D6" w14:paraId="05C314B4" w14:textId="77777777" w:rsidTr="004E424E">
        <w:tc>
          <w:tcPr>
            <w:tcW w:w="3101" w:type="dxa"/>
          </w:tcPr>
          <w:p w14:paraId="60156C40" w14:textId="77777777" w:rsidR="008819D6" w:rsidRDefault="008819D6" w:rsidP="004E424E">
            <w:r>
              <w:lastRenderedPageBreak/>
              <w:t>Worked with an individual with a disability</w:t>
            </w:r>
          </w:p>
        </w:tc>
        <w:tc>
          <w:tcPr>
            <w:tcW w:w="1079" w:type="dxa"/>
          </w:tcPr>
          <w:p w14:paraId="30E6AB97" w14:textId="77777777" w:rsidR="008819D6" w:rsidRDefault="008819D6" w:rsidP="004E424E">
            <w:r>
              <w:t>-.512*</w:t>
            </w:r>
          </w:p>
        </w:tc>
        <w:tc>
          <w:tcPr>
            <w:tcW w:w="1079" w:type="dxa"/>
          </w:tcPr>
          <w:p w14:paraId="1C519F9E" w14:textId="77777777" w:rsidR="008819D6" w:rsidRDefault="008819D6" w:rsidP="004E424E">
            <w:r>
              <w:t>.326</w:t>
            </w:r>
          </w:p>
        </w:tc>
        <w:tc>
          <w:tcPr>
            <w:tcW w:w="1079" w:type="dxa"/>
          </w:tcPr>
          <w:p w14:paraId="02652920" w14:textId="77777777" w:rsidR="008819D6" w:rsidRDefault="008819D6" w:rsidP="004E424E">
            <w:r>
              <w:t>-.292</w:t>
            </w:r>
          </w:p>
        </w:tc>
        <w:tc>
          <w:tcPr>
            <w:tcW w:w="1079" w:type="dxa"/>
          </w:tcPr>
          <w:p w14:paraId="7DE750FE" w14:textId="77777777" w:rsidR="008819D6" w:rsidRDefault="008819D6" w:rsidP="004E424E">
            <w:r>
              <w:t>.285</w:t>
            </w:r>
          </w:p>
        </w:tc>
        <w:tc>
          <w:tcPr>
            <w:tcW w:w="1079" w:type="dxa"/>
          </w:tcPr>
          <w:p w14:paraId="2E1B0C19" w14:textId="77777777" w:rsidR="008819D6" w:rsidRDefault="008819D6" w:rsidP="004E424E">
            <w:r>
              <w:t>-.307</w:t>
            </w:r>
          </w:p>
        </w:tc>
        <w:tc>
          <w:tcPr>
            <w:tcW w:w="1080" w:type="dxa"/>
          </w:tcPr>
          <w:p w14:paraId="5EABF42C" w14:textId="77777777" w:rsidR="008819D6" w:rsidRDefault="008819D6" w:rsidP="004E424E">
            <w:r>
              <w:t>.315</w:t>
            </w:r>
          </w:p>
        </w:tc>
      </w:tr>
      <w:tr w:rsidR="008819D6" w14:paraId="5E0F0F28" w14:textId="77777777" w:rsidTr="004E424E">
        <w:tc>
          <w:tcPr>
            <w:tcW w:w="3101" w:type="dxa"/>
          </w:tcPr>
          <w:p w14:paraId="27FDF344" w14:textId="77777777" w:rsidR="008819D6" w:rsidRDefault="008819D6" w:rsidP="004E424E">
            <w:r>
              <w:t>Initial attitudes of pro-inclusion</w:t>
            </w:r>
          </w:p>
        </w:tc>
        <w:tc>
          <w:tcPr>
            <w:tcW w:w="1079" w:type="dxa"/>
          </w:tcPr>
          <w:p w14:paraId="546A422E" w14:textId="77777777" w:rsidR="008819D6" w:rsidRDefault="008819D6" w:rsidP="004E424E">
            <w:r>
              <w:t>.211</w:t>
            </w:r>
          </w:p>
        </w:tc>
        <w:tc>
          <w:tcPr>
            <w:tcW w:w="1079" w:type="dxa"/>
          </w:tcPr>
          <w:p w14:paraId="0B79CDAF" w14:textId="77777777" w:rsidR="008819D6" w:rsidRDefault="008819D6" w:rsidP="004E424E">
            <w:r>
              <w:t>.247</w:t>
            </w:r>
          </w:p>
        </w:tc>
        <w:tc>
          <w:tcPr>
            <w:tcW w:w="1079" w:type="dxa"/>
          </w:tcPr>
          <w:p w14:paraId="5AD4666C" w14:textId="77777777" w:rsidR="008819D6" w:rsidRDefault="008819D6" w:rsidP="004E424E">
            <w:r>
              <w:t>.082</w:t>
            </w:r>
          </w:p>
        </w:tc>
        <w:tc>
          <w:tcPr>
            <w:tcW w:w="1079" w:type="dxa"/>
          </w:tcPr>
          <w:p w14:paraId="216A31C0" w14:textId="77777777" w:rsidR="008819D6" w:rsidRDefault="008819D6" w:rsidP="004E424E">
            <w:r>
              <w:t>.205</w:t>
            </w:r>
          </w:p>
        </w:tc>
        <w:tc>
          <w:tcPr>
            <w:tcW w:w="1079" w:type="dxa"/>
          </w:tcPr>
          <w:p w14:paraId="0203578A" w14:textId="77777777" w:rsidR="008819D6" w:rsidRDefault="008819D6" w:rsidP="004E424E">
            <w:r>
              <w:t>.009</w:t>
            </w:r>
          </w:p>
        </w:tc>
        <w:tc>
          <w:tcPr>
            <w:tcW w:w="1080" w:type="dxa"/>
          </w:tcPr>
          <w:p w14:paraId="5541F2DE" w14:textId="77777777" w:rsidR="008819D6" w:rsidRDefault="008819D6" w:rsidP="004E424E">
            <w:r>
              <w:t>.232</w:t>
            </w:r>
          </w:p>
        </w:tc>
      </w:tr>
      <w:tr w:rsidR="008819D6" w14:paraId="4A181CCB" w14:textId="77777777" w:rsidTr="004E424E">
        <w:tc>
          <w:tcPr>
            <w:tcW w:w="3101" w:type="dxa"/>
          </w:tcPr>
          <w:p w14:paraId="02C56094" w14:textId="77777777" w:rsidR="008819D6" w:rsidRDefault="008819D6" w:rsidP="004E424E">
            <w:r>
              <w:t>Attitudes of pro-inclusion at 7 weeks</w:t>
            </w:r>
          </w:p>
        </w:tc>
        <w:tc>
          <w:tcPr>
            <w:tcW w:w="1079" w:type="dxa"/>
          </w:tcPr>
          <w:p w14:paraId="6916C895" w14:textId="77777777" w:rsidR="008819D6" w:rsidRDefault="008819D6" w:rsidP="004E424E"/>
        </w:tc>
        <w:tc>
          <w:tcPr>
            <w:tcW w:w="1079" w:type="dxa"/>
          </w:tcPr>
          <w:p w14:paraId="2A19EC86" w14:textId="77777777" w:rsidR="008819D6" w:rsidRDefault="008819D6" w:rsidP="004E424E"/>
        </w:tc>
        <w:tc>
          <w:tcPr>
            <w:tcW w:w="1079" w:type="dxa"/>
          </w:tcPr>
          <w:p w14:paraId="3F93ACD8" w14:textId="77777777" w:rsidR="008819D6" w:rsidRDefault="008819D6" w:rsidP="004E424E">
            <w:r>
              <w:t>.543*</w:t>
            </w:r>
          </w:p>
        </w:tc>
        <w:tc>
          <w:tcPr>
            <w:tcW w:w="1079" w:type="dxa"/>
          </w:tcPr>
          <w:p w14:paraId="1F5A9DFB" w14:textId="77777777" w:rsidR="008819D6" w:rsidRDefault="008819D6" w:rsidP="004E424E">
            <w:r>
              <w:t>.173</w:t>
            </w:r>
          </w:p>
        </w:tc>
        <w:tc>
          <w:tcPr>
            <w:tcW w:w="1079" w:type="dxa"/>
          </w:tcPr>
          <w:p w14:paraId="726B72E8" w14:textId="77777777" w:rsidR="008819D6" w:rsidRDefault="008819D6" w:rsidP="004E424E">
            <w:r>
              <w:t>.536*</w:t>
            </w:r>
          </w:p>
        </w:tc>
        <w:tc>
          <w:tcPr>
            <w:tcW w:w="1080" w:type="dxa"/>
          </w:tcPr>
          <w:p w14:paraId="1F242E7C" w14:textId="77777777" w:rsidR="008819D6" w:rsidRDefault="008819D6" w:rsidP="004E424E">
            <w:r>
              <w:t>.202</w:t>
            </w:r>
          </w:p>
        </w:tc>
      </w:tr>
      <w:tr w:rsidR="008819D6" w14:paraId="6F138D05" w14:textId="77777777" w:rsidTr="004E424E">
        <w:tc>
          <w:tcPr>
            <w:tcW w:w="3101" w:type="dxa"/>
          </w:tcPr>
          <w:p w14:paraId="1A15781B" w14:textId="77777777" w:rsidR="008819D6" w:rsidRDefault="008819D6" w:rsidP="004E424E">
            <w:r>
              <w:t>Attitudes of pro-inclusion at 11 weeks</w:t>
            </w:r>
          </w:p>
        </w:tc>
        <w:tc>
          <w:tcPr>
            <w:tcW w:w="1079" w:type="dxa"/>
          </w:tcPr>
          <w:p w14:paraId="44AD6DEA" w14:textId="77777777" w:rsidR="008819D6" w:rsidRDefault="008819D6" w:rsidP="004E424E"/>
        </w:tc>
        <w:tc>
          <w:tcPr>
            <w:tcW w:w="1079" w:type="dxa"/>
          </w:tcPr>
          <w:p w14:paraId="4C5E7622" w14:textId="77777777" w:rsidR="008819D6" w:rsidRDefault="008819D6" w:rsidP="004E424E"/>
        </w:tc>
        <w:tc>
          <w:tcPr>
            <w:tcW w:w="1079" w:type="dxa"/>
          </w:tcPr>
          <w:p w14:paraId="5EE6E52B" w14:textId="77777777" w:rsidR="008819D6" w:rsidRDefault="008819D6" w:rsidP="004E424E"/>
        </w:tc>
        <w:tc>
          <w:tcPr>
            <w:tcW w:w="1079" w:type="dxa"/>
          </w:tcPr>
          <w:p w14:paraId="5AF29543" w14:textId="77777777" w:rsidR="008819D6" w:rsidRDefault="008819D6" w:rsidP="004E424E"/>
        </w:tc>
        <w:tc>
          <w:tcPr>
            <w:tcW w:w="1079" w:type="dxa"/>
          </w:tcPr>
          <w:p w14:paraId="275501BC" w14:textId="77777777" w:rsidR="008819D6" w:rsidRDefault="008819D6" w:rsidP="004E424E">
            <w:r>
              <w:t>.127</w:t>
            </w:r>
          </w:p>
        </w:tc>
        <w:tc>
          <w:tcPr>
            <w:tcW w:w="1080" w:type="dxa"/>
          </w:tcPr>
          <w:p w14:paraId="03304D56" w14:textId="77777777" w:rsidR="008819D6" w:rsidRDefault="008819D6" w:rsidP="004E424E">
            <w:r>
              <w:t>.299</w:t>
            </w:r>
          </w:p>
        </w:tc>
      </w:tr>
      <w:tr w:rsidR="008819D6" w14:paraId="230D0017" w14:textId="77777777" w:rsidTr="004E424E">
        <w:tc>
          <w:tcPr>
            <w:tcW w:w="3101" w:type="dxa"/>
            <w:tcBorders>
              <w:bottom w:val="single" w:sz="4" w:space="0" w:color="auto"/>
            </w:tcBorders>
          </w:tcPr>
          <w:p w14:paraId="5C15DC2C" w14:textId="77777777" w:rsidR="008819D6" w:rsidRDefault="008819D6" w:rsidP="004E424E">
            <w:r>
              <w:t>R</w:t>
            </w:r>
            <w:r>
              <w:rPr>
                <w:vertAlign w:val="superscript"/>
              </w:rPr>
              <w:t>2</w:t>
            </w:r>
          </w:p>
        </w:tc>
        <w:tc>
          <w:tcPr>
            <w:tcW w:w="1079" w:type="dxa"/>
            <w:tcBorders>
              <w:bottom w:val="single" w:sz="4" w:space="0" w:color="auto"/>
            </w:tcBorders>
          </w:tcPr>
          <w:p w14:paraId="4DAC6F5B" w14:textId="77777777" w:rsidR="008819D6" w:rsidRDefault="008819D6" w:rsidP="004E424E">
            <w:r>
              <w:t>.384*</w:t>
            </w:r>
          </w:p>
        </w:tc>
        <w:tc>
          <w:tcPr>
            <w:tcW w:w="1079" w:type="dxa"/>
            <w:tcBorders>
              <w:bottom w:val="single" w:sz="4" w:space="0" w:color="auto"/>
            </w:tcBorders>
          </w:tcPr>
          <w:p w14:paraId="6B38DB0F" w14:textId="77777777" w:rsidR="008819D6" w:rsidRDefault="008819D6" w:rsidP="004E424E"/>
        </w:tc>
        <w:tc>
          <w:tcPr>
            <w:tcW w:w="1079" w:type="dxa"/>
            <w:tcBorders>
              <w:bottom w:val="single" w:sz="4" w:space="0" w:color="auto"/>
            </w:tcBorders>
          </w:tcPr>
          <w:p w14:paraId="7F38C8F4" w14:textId="77777777" w:rsidR="008819D6" w:rsidRDefault="008819D6" w:rsidP="004E424E">
            <w:r>
              <w:t>.600**</w:t>
            </w:r>
          </w:p>
        </w:tc>
        <w:tc>
          <w:tcPr>
            <w:tcW w:w="1079" w:type="dxa"/>
            <w:tcBorders>
              <w:bottom w:val="single" w:sz="4" w:space="0" w:color="auto"/>
            </w:tcBorders>
          </w:tcPr>
          <w:p w14:paraId="4082383E" w14:textId="77777777" w:rsidR="008819D6" w:rsidRDefault="008819D6" w:rsidP="004E424E"/>
        </w:tc>
        <w:tc>
          <w:tcPr>
            <w:tcW w:w="1079" w:type="dxa"/>
            <w:tcBorders>
              <w:bottom w:val="single" w:sz="4" w:space="0" w:color="auto"/>
            </w:tcBorders>
          </w:tcPr>
          <w:p w14:paraId="5EB48940" w14:textId="77777777" w:rsidR="008819D6" w:rsidRDefault="008819D6" w:rsidP="004E424E">
            <w:r>
              <w:t>.571*</w:t>
            </w:r>
          </w:p>
        </w:tc>
        <w:tc>
          <w:tcPr>
            <w:tcW w:w="1080" w:type="dxa"/>
            <w:tcBorders>
              <w:bottom w:val="single" w:sz="4" w:space="0" w:color="auto"/>
            </w:tcBorders>
          </w:tcPr>
          <w:p w14:paraId="4F023736" w14:textId="77777777" w:rsidR="008819D6" w:rsidRDefault="008819D6" w:rsidP="004E424E"/>
        </w:tc>
      </w:tr>
    </w:tbl>
    <w:p w14:paraId="44C9344B" w14:textId="77777777" w:rsidR="008819D6" w:rsidRDefault="008819D6" w:rsidP="008819D6">
      <w:r>
        <w:t>* Significant at the .050 level</w:t>
      </w:r>
    </w:p>
    <w:p w14:paraId="75E7F516" w14:textId="77777777" w:rsidR="008819D6" w:rsidRDefault="008819D6" w:rsidP="008819D6">
      <w:r>
        <w:t>** Significant at the .010 level</w:t>
      </w:r>
    </w:p>
    <w:p w14:paraId="2B67834F" w14:textId="77777777" w:rsidR="00FA3714" w:rsidRDefault="00FA3714" w:rsidP="009342FC"/>
    <w:p w14:paraId="128DD0B7" w14:textId="168412E7" w:rsidR="00130B93" w:rsidRPr="00EA5BAE" w:rsidRDefault="00130B93" w:rsidP="00130B93">
      <w:pPr>
        <w:spacing w:line="480" w:lineRule="auto"/>
      </w:pPr>
      <w:r>
        <w:t xml:space="preserve">We analyzed Class 2 using the same step-wise regression model (See Table </w:t>
      </w:r>
      <w:r w:rsidR="00AC7982">
        <w:t>5</w:t>
      </w:r>
      <w:r w:rsidR="00C5356C">
        <w:t>)</w:t>
      </w:r>
      <w:r>
        <w:t xml:space="preserve">. Initially, the first data point of the TATIS was significant (p &lt; .01) but lost significance by the third model.  Attitudes at seven weeks were significant (p &lt; .01) in predicting the final attitudes across models 2 and 3.  </w:t>
      </w:r>
    </w:p>
    <w:p w14:paraId="2424BF3B" w14:textId="63D5DA6B" w:rsidR="008819D6" w:rsidRDefault="008819D6" w:rsidP="008819D6">
      <w:pPr>
        <w:tabs>
          <w:tab w:val="left" w:pos="5136"/>
        </w:tabs>
      </w:pPr>
      <w:r>
        <w:t xml:space="preserve">Table </w:t>
      </w:r>
      <w:r w:rsidR="0034020D">
        <w:t>5</w:t>
      </w:r>
    </w:p>
    <w:p w14:paraId="30C8F029" w14:textId="77777777" w:rsidR="008819D6" w:rsidRPr="000A3D7D" w:rsidRDefault="008819D6" w:rsidP="008819D6">
      <w:pPr>
        <w:rPr>
          <w:i/>
        </w:rPr>
      </w:pPr>
      <w:r w:rsidRPr="000A3D7D">
        <w:rPr>
          <w:i/>
        </w:rPr>
        <w:t>Effects on Pro-Inclusion Attitudes at Course Completion for Class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1079"/>
        <w:gridCol w:w="1079"/>
        <w:gridCol w:w="1079"/>
        <w:gridCol w:w="1079"/>
        <w:gridCol w:w="1079"/>
        <w:gridCol w:w="1080"/>
      </w:tblGrid>
      <w:tr w:rsidR="008819D6" w14:paraId="6F76E8A5" w14:textId="77777777" w:rsidTr="004E424E">
        <w:tc>
          <w:tcPr>
            <w:tcW w:w="3101" w:type="dxa"/>
            <w:tcBorders>
              <w:top w:val="single" w:sz="4" w:space="0" w:color="auto"/>
            </w:tcBorders>
          </w:tcPr>
          <w:p w14:paraId="27B21170" w14:textId="77777777" w:rsidR="008819D6" w:rsidRDefault="008819D6" w:rsidP="004E424E">
            <w:r>
              <w:t>Variable Name</w:t>
            </w:r>
          </w:p>
        </w:tc>
        <w:tc>
          <w:tcPr>
            <w:tcW w:w="2158" w:type="dxa"/>
            <w:gridSpan w:val="2"/>
            <w:tcBorders>
              <w:top w:val="single" w:sz="4" w:space="0" w:color="auto"/>
            </w:tcBorders>
          </w:tcPr>
          <w:p w14:paraId="7553C688" w14:textId="77777777" w:rsidR="008819D6" w:rsidRDefault="008819D6" w:rsidP="004E424E">
            <w:pPr>
              <w:jc w:val="center"/>
            </w:pPr>
            <w:r>
              <w:t>Model 1</w:t>
            </w:r>
          </w:p>
        </w:tc>
        <w:tc>
          <w:tcPr>
            <w:tcW w:w="2158" w:type="dxa"/>
            <w:gridSpan w:val="2"/>
            <w:tcBorders>
              <w:top w:val="single" w:sz="4" w:space="0" w:color="auto"/>
            </w:tcBorders>
          </w:tcPr>
          <w:p w14:paraId="29F44F3C" w14:textId="77777777" w:rsidR="008819D6" w:rsidRDefault="008819D6" w:rsidP="004E424E">
            <w:pPr>
              <w:jc w:val="center"/>
            </w:pPr>
            <w:r>
              <w:t>Model 2</w:t>
            </w:r>
          </w:p>
        </w:tc>
        <w:tc>
          <w:tcPr>
            <w:tcW w:w="2159" w:type="dxa"/>
            <w:gridSpan w:val="2"/>
            <w:tcBorders>
              <w:top w:val="single" w:sz="4" w:space="0" w:color="auto"/>
            </w:tcBorders>
          </w:tcPr>
          <w:p w14:paraId="1C908625" w14:textId="77777777" w:rsidR="008819D6" w:rsidRDefault="008819D6" w:rsidP="004E424E">
            <w:pPr>
              <w:jc w:val="center"/>
            </w:pPr>
            <w:r>
              <w:t>Model 3</w:t>
            </w:r>
          </w:p>
        </w:tc>
      </w:tr>
      <w:tr w:rsidR="008819D6" w14:paraId="4426B1D7" w14:textId="77777777" w:rsidTr="004E424E">
        <w:tc>
          <w:tcPr>
            <w:tcW w:w="3101" w:type="dxa"/>
            <w:tcBorders>
              <w:bottom w:val="single" w:sz="4" w:space="0" w:color="auto"/>
            </w:tcBorders>
          </w:tcPr>
          <w:p w14:paraId="3FC7EC6A" w14:textId="77777777" w:rsidR="008819D6" w:rsidRDefault="008819D6" w:rsidP="004E424E"/>
        </w:tc>
        <w:tc>
          <w:tcPr>
            <w:tcW w:w="1079" w:type="dxa"/>
            <w:tcBorders>
              <w:bottom w:val="single" w:sz="4" w:space="0" w:color="auto"/>
            </w:tcBorders>
          </w:tcPr>
          <w:p w14:paraId="73C57CB1" w14:textId="77777777" w:rsidR="008819D6" w:rsidRDefault="008819D6" w:rsidP="004E424E">
            <w:r>
              <w:t>Beta</w:t>
            </w:r>
          </w:p>
        </w:tc>
        <w:tc>
          <w:tcPr>
            <w:tcW w:w="1079" w:type="dxa"/>
            <w:tcBorders>
              <w:bottom w:val="single" w:sz="4" w:space="0" w:color="auto"/>
            </w:tcBorders>
          </w:tcPr>
          <w:p w14:paraId="7A4D7880" w14:textId="77777777" w:rsidR="008819D6" w:rsidRDefault="008819D6" w:rsidP="004E424E">
            <w:r>
              <w:t>SE</w:t>
            </w:r>
          </w:p>
        </w:tc>
        <w:tc>
          <w:tcPr>
            <w:tcW w:w="1079" w:type="dxa"/>
            <w:tcBorders>
              <w:bottom w:val="single" w:sz="4" w:space="0" w:color="auto"/>
            </w:tcBorders>
          </w:tcPr>
          <w:p w14:paraId="0914BD6A" w14:textId="77777777" w:rsidR="008819D6" w:rsidRDefault="008819D6" w:rsidP="004E424E">
            <w:r>
              <w:t>Beta</w:t>
            </w:r>
          </w:p>
        </w:tc>
        <w:tc>
          <w:tcPr>
            <w:tcW w:w="1079" w:type="dxa"/>
            <w:tcBorders>
              <w:bottom w:val="single" w:sz="4" w:space="0" w:color="auto"/>
            </w:tcBorders>
          </w:tcPr>
          <w:p w14:paraId="7BB3492C" w14:textId="77777777" w:rsidR="008819D6" w:rsidRDefault="008819D6" w:rsidP="004E424E">
            <w:r>
              <w:t>SE</w:t>
            </w:r>
          </w:p>
        </w:tc>
        <w:tc>
          <w:tcPr>
            <w:tcW w:w="1079" w:type="dxa"/>
            <w:tcBorders>
              <w:bottom w:val="single" w:sz="4" w:space="0" w:color="auto"/>
            </w:tcBorders>
          </w:tcPr>
          <w:p w14:paraId="280B09A2" w14:textId="77777777" w:rsidR="008819D6" w:rsidRDefault="008819D6" w:rsidP="004E424E">
            <w:r>
              <w:t>Beta</w:t>
            </w:r>
          </w:p>
        </w:tc>
        <w:tc>
          <w:tcPr>
            <w:tcW w:w="1080" w:type="dxa"/>
            <w:tcBorders>
              <w:bottom w:val="single" w:sz="4" w:space="0" w:color="auto"/>
            </w:tcBorders>
          </w:tcPr>
          <w:p w14:paraId="4A7D4E03" w14:textId="77777777" w:rsidR="008819D6" w:rsidRDefault="008819D6" w:rsidP="004E424E">
            <w:r>
              <w:t>SE</w:t>
            </w:r>
          </w:p>
        </w:tc>
      </w:tr>
      <w:tr w:rsidR="008819D6" w14:paraId="4AC4ADDF" w14:textId="77777777" w:rsidTr="004E424E">
        <w:tc>
          <w:tcPr>
            <w:tcW w:w="3101" w:type="dxa"/>
            <w:tcBorders>
              <w:top w:val="single" w:sz="4" w:space="0" w:color="auto"/>
            </w:tcBorders>
          </w:tcPr>
          <w:p w14:paraId="1B815C66" w14:textId="77777777" w:rsidR="008819D6" w:rsidRDefault="008819D6" w:rsidP="004E424E">
            <w:r>
              <w:t>Family member with a disability</w:t>
            </w:r>
          </w:p>
        </w:tc>
        <w:tc>
          <w:tcPr>
            <w:tcW w:w="1079" w:type="dxa"/>
            <w:tcBorders>
              <w:top w:val="single" w:sz="4" w:space="0" w:color="auto"/>
            </w:tcBorders>
          </w:tcPr>
          <w:p w14:paraId="4CC27FFC" w14:textId="77777777" w:rsidR="008819D6" w:rsidRDefault="008819D6" w:rsidP="004E424E">
            <w:r>
              <w:t>.042</w:t>
            </w:r>
          </w:p>
        </w:tc>
        <w:tc>
          <w:tcPr>
            <w:tcW w:w="1079" w:type="dxa"/>
            <w:tcBorders>
              <w:top w:val="single" w:sz="4" w:space="0" w:color="auto"/>
            </w:tcBorders>
          </w:tcPr>
          <w:p w14:paraId="5CB4B299" w14:textId="77777777" w:rsidR="008819D6" w:rsidRDefault="008819D6" w:rsidP="004E424E">
            <w:r>
              <w:t>.308</w:t>
            </w:r>
          </w:p>
        </w:tc>
        <w:tc>
          <w:tcPr>
            <w:tcW w:w="1079" w:type="dxa"/>
            <w:tcBorders>
              <w:top w:val="single" w:sz="4" w:space="0" w:color="auto"/>
            </w:tcBorders>
          </w:tcPr>
          <w:p w14:paraId="1B347F6F" w14:textId="77777777" w:rsidR="008819D6" w:rsidRDefault="008819D6" w:rsidP="004E424E">
            <w:r>
              <w:t>.152</w:t>
            </w:r>
          </w:p>
        </w:tc>
        <w:tc>
          <w:tcPr>
            <w:tcW w:w="1079" w:type="dxa"/>
            <w:tcBorders>
              <w:top w:val="single" w:sz="4" w:space="0" w:color="auto"/>
            </w:tcBorders>
          </w:tcPr>
          <w:p w14:paraId="480995B9" w14:textId="77777777" w:rsidR="008819D6" w:rsidRDefault="008819D6" w:rsidP="004E424E">
            <w:r>
              <w:t>.257</w:t>
            </w:r>
          </w:p>
        </w:tc>
        <w:tc>
          <w:tcPr>
            <w:tcW w:w="1079" w:type="dxa"/>
            <w:tcBorders>
              <w:top w:val="single" w:sz="4" w:space="0" w:color="auto"/>
            </w:tcBorders>
          </w:tcPr>
          <w:p w14:paraId="32C1B03A" w14:textId="77777777" w:rsidR="008819D6" w:rsidRDefault="008819D6" w:rsidP="004E424E">
            <w:r>
              <w:t>.220</w:t>
            </w:r>
          </w:p>
        </w:tc>
        <w:tc>
          <w:tcPr>
            <w:tcW w:w="1080" w:type="dxa"/>
            <w:tcBorders>
              <w:top w:val="single" w:sz="4" w:space="0" w:color="auto"/>
            </w:tcBorders>
          </w:tcPr>
          <w:p w14:paraId="4B9268A0" w14:textId="77777777" w:rsidR="008819D6" w:rsidRDefault="008819D6" w:rsidP="004E424E">
            <w:r>
              <w:t>.209</w:t>
            </w:r>
          </w:p>
        </w:tc>
      </w:tr>
      <w:tr w:rsidR="008819D6" w14:paraId="37E2CC85" w14:textId="77777777" w:rsidTr="004E424E">
        <w:tc>
          <w:tcPr>
            <w:tcW w:w="3101" w:type="dxa"/>
          </w:tcPr>
          <w:p w14:paraId="764F257E" w14:textId="77777777" w:rsidR="008819D6" w:rsidRDefault="008819D6" w:rsidP="004E424E">
            <w:r>
              <w:t>Worked with an individual with a disability</w:t>
            </w:r>
          </w:p>
        </w:tc>
        <w:tc>
          <w:tcPr>
            <w:tcW w:w="1079" w:type="dxa"/>
          </w:tcPr>
          <w:p w14:paraId="555E38AD" w14:textId="77777777" w:rsidR="008819D6" w:rsidRDefault="008819D6" w:rsidP="004E424E">
            <w:r>
              <w:t>.419</w:t>
            </w:r>
          </w:p>
        </w:tc>
        <w:tc>
          <w:tcPr>
            <w:tcW w:w="1079" w:type="dxa"/>
          </w:tcPr>
          <w:p w14:paraId="1AB11FE3" w14:textId="77777777" w:rsidR="008819D6" w:rsidRDefault="008819D6" w:rsidP="004E424E">
            <w:r>
              <w:t>.328</w:t>
            </w:r>
          </w:p>
        </w:tc>
        <w:tc>
          <w:tcPr>
            <w:tcW w:w="1079" w:type="dxa"/>
          </w:tcPr>
          <w:p w14:paraId="1821158B" w14:textId="77777777" w:rsidR="008819D6" w:rsidRDefault="008819D6" w:rsidP="004E424E">
            <w:r>
              <w:t>.466*</w:t>
            </w:r>
          </w:p>
        </w:tc>
        <w:tc>
          <w:tcPr>
            <w:tcW w:w="1079" w:type="dxa"/>
          </w:tcPr>
          <w:p w14:paraId="48443350" w14:textId="77777777" w:rsidR="008819D6" w:rsidRDefault="008819D6" w:rsidP="004E424E">
            <w:r>
              <w:t>.283</w:t>
            </w:r>
          </w:p>
        </w:tc>
        <w:tc>
          <w:tcPr>
            <w:tcW w:w="1079" w:type="dxa"/>
          </w:tcPr>
          <w:p w14:paraId="7B715847" w14:textId="77777777" w:rsidR="008819D6" w:rsidRDefault="008819D6" w:rsidP="004E424E">
            <w:r>
              <w:t>.354</w:t>
            </w:r>
          </w:p>
        </w:tc>
        <w:tc>
          <w:tcPr>
            <w:tcW w:w="1080" w:type="dxa"/>
          </w:tcPr>
          <w:p w14:paraId="4654A24A" w14:textId="77777777" w:rsidR="008819D6" w:rsidRDefault="008819D6" w:rsidP="004E424E">
            <w:r>
              <w:t>.234</w:t>
            </w:r>
          </w:p>
        </w:tc>
      </w:tr>
      <w:tr w:rsidR="008819D6" w14:paraId="18BEE5EC" w14:textId="77777777" w:rsidTr="004E424E">
        <w:tc>
          <w:tcPr>
            <w:tcW w:w="3101" w:type="dxa"/>
          </w:tcPr>
          <w:p w14:paraId="12CCE9C7" w14:textId="77777777" w:rsidR="008819D6" w:rsidRDefault="008819D6" w:rsidP="004E424E">
            <w:r>
              <w:t>Gender</w:t>
            </w:r>
          </w:p>
        </w:tc>
        <w:tc>
          <w:tcPr>
            <w:tcW w:w="1079" w:type="dxa"/>
          </w:tcPr>
          <w:p w14:paraId="5A313A81" w14:textId="77777777" w:rsidR="008819D6" w:rsidRDefault="008819D6" w:rsidP="004E424E">
            <w:r>
              <w:t>-.067</w:t>
            </w:r>
          </w:p>
        </w:tc>
        <w:tc>
          <w:tcPr>
            <w:tcW w:w="1079" w:type="dxa"/>
          </w:tcPr>
          <w:p w14:paraId="2D9E3E15" w14:textId="77777777" w:rsidR="008819D6" w:rsidRDefault="008819D6" w:rsidP="004E424E">
            <w:r>
              <w:t>.307</w:t>
            </w:r>
          </w:p>
        </w:tc>
        <w:tc>
          <w:tcPr>
            <w:tcW w:w="1079" w:type="dxa"/>
          </w:tcPr>
          <w:p w14:paraId="2AC06F97" w14:textId="77777777" w:rsidR="008819D6" w:rsidRDefault="008819D6" w:rsidP="004E424E">
            <w:r>
              <w:t>-.169</w:t>
            </w:r>
          </w:p>
        </w:tc>
        <w:tc>
          <w:tcPr>
            <w:tcW w:w="1079" w:type="dxa"/>
          </w:tcPr>
          <w:p w14:paraId="3385C408" w14:textId="77777777" w:rsidR="008819D6" w:rsidRDefault="008819D6" w:rsidP="004E424E">
            <w:r>
              <w:t>.239</w:t>
            </w:r>
          </w:p>
        </w:tc>
        <w:tc>
          <w:tcPr>
            <w:tcW w:w="1079" w:type="dxa"/>
          </w:tcPr>
          <w:p w14:paraId="2DBE2805" w14:textId="77777777" w:rsidR="008819D6" w:rsidRDefault="008819D6" w:rsidP="004E424E">
            <w:r>
              <w:t>-.050</w:t>
            </w:r>
          </w:p>
        </w:tc>
        <w:tc>
          <w:tcPr>
            <w:tcW w:w="1080" w:type="dxa"/>
          </w:tcPr>
          <w:p w14:paraId="73121BBC" w14:textId="77777777" w:rsidR="008819D6" w:rsidRDefault="008819D6" w:rsidP="004E424E">
            <w:r>
              <w:t>.201</w:t>
            </w:r>
          </w:p>
        </w:tc>
      </w:tr>
      <w:tr w:rsidR="008819D6" w14:paraId="05349CE4" w14:textId="77777777" w:rsidTr="004E424E">
        <w:tc>
          <w:tcPr>
            <w:tcW w:w="3101" w:type="dxa"/>
          </w:tcPr>
          <w:p w14:paraId="6E87547D" w14:textId="77777777" w:rsidR="008819D6" w:rsidRDefault="008819D6" w:rsidP="004E424E">
            <w:r>
              <w:t>Initial attitudes of pro-inclusion</w:t>
            </w:r>
          </w:p>
        </w:tc>
        <w:tc>
          <w:tcPr>
            <w:tcW w:w="1079" w:type="dxa"/>
          </w:tcPr>
          <w:p w14:paraId="58C143BB" w14:textId="77777777" w:rsidR="008819D6" w:rsidRDefault="008819D6" w:rsidP="004E424E">
            <w:r>
              <w:t>.716**</w:t>
            </w:r>
          </w:p>
        </w:tc>
        <w:tc>
          <w:tcPr>
            <w:tcW w:w="1079" w:type="dxa"/>
          </w:tcPr>
          <w:p w14:paraId="095054BF" w14:textId="77777777" w:rsidR="008819D6" w:rsidRDefault="008819D6" w:rsidP="004E424E">
            <w:r>
              <w:t>.239</w:t>
            </w:r>
          </w:p>
        </w:tc>
        <w:tc>
          <w:tcPr>
            <w:tcW w:w="1079" w:type="dxa"/>
          </w:tcPr>
          <w:p w14:paraId="69CFE7DE" w14:textId="77777777" w:rsidR="008819D6" w:rsidRDefault="008819D6" w:rsidP="004E424E">
            <w:r>
              <w:t>.546*</w:t>
            </w:r>
          </w:p>
        </w:tc>
        <w:tc>
          <w:tcPr>
            <w:tcW w:w="1079" w:type="dxa"/>
          </w:tcPr>
          <w:p w14:paraId="67FF3099" w14:textId="77777777" w:rsidR="008819D6" w:rsidRDefault="008819D6" w:rsidP="004E424E">
            <w:r>
              <w:t>.200</w:t>
            </w:r>
          </w:p>
        </w:tc>
        <w:tc>
          <w:tcPr>
            <w:tcW w:w="1079" w:type="dxa"/>
          </w:tcPr>
          <w:p w14:paraId="43F84E93" w14:textId="77777777" w:rsidR="008819D6" w:rsidRDefault="008819D6" w:rsidP="004E424E">
            <w:r>
              <w:t>.485</w:t>
            </w:r>
          </w:p>
        </w:tc>
        <w:tc>
          <w:tcPr>
            <w:tcW w:w="1080" w:type="dxa"/>
          </w:tcPr>
          <w:p w14:paraId="27EB33F2" w14:textId="77777777" w:rsidR="008819D6" w:rsidRDefault="008819D6" w:rsidP="004E424E">
            <w:r>
              <w:t>.162</w:t>
            </w:r>
          </w:p>
        </w:tc>
      </w:tr>
      <w:tr w:rsidR="008819D6" w14:paraId="4727F908" w14:textId="77777777" w:rsidTr="004E424E">
        <w:tc>
          <w:tcPr>
            <w:tcW w:w="3101" w:type="dxa"/>
          </w:tcPr>
          <w:p w14:paraId="4E737F5D" w14:textId="77777777" w:rsidR="008819D6" w:rsidRDefault="008819D6" w:rsidP="004E424E">
            <w:r>
              <w:t>Attitudes of pro-inclusion at 7 weeks</w:t>
            </w:r>
          </w:p>
        </w:tc>
        <w:tc>
          <w:tcPr>
            <w:tcW w:w="1079" w:type="dxa"/>
          </w:tcPr>
          <w:p w14:paraId="3FE9F6E4" w14:textId="77777777" w:rsidR="008819D6" w:rsidRDefault="008819D6" w:rsidP="004E424E"/>
        </w:tc>
        <w:tc>
          <w:tcPr>
            <w:tcW w:w="1079" w:type="dxa"/>
          </w:tcPr>
          <w:p w14:paraId="0DB15615" w14:textId="77777777" w:rsidR="008819D6" w:rsidRDefault="008819D6" w:rsidP="004E424E"/>
        </w:tc>
        <w:tc>
          <w:tcPr>
            <w:tcW w:w="1079" w:type="dxa"/>
          </w:tcPr>
          <w:p w14:paraId="67402185" w14:textId="77777777" w:rsidR="008819D6" w:rsidRDefault="008819D6" w:rsidP="004E424E">
            <w:r>
              <w:t>.536**</w:t>
            </w:r>
          </w:p>
        </w:tc>
        <w:tc>
          <w:tcPr>
            <w:tcW w:w="1079" w:type="dxa"/>
          </w:tcPr>
          <w:p w14:paraId="2252C682" w14:textId="77777777" w:rsidR="008819D6" w:rsidRDefault="008819D6" w:rsidP="004E424E">
            <w:r>
              <w:t>.251</w:t>
            </w:r>
          </w:p>
        </w:tc>
        <w:tc>
          <w:tcPr>
            <w:tcW w:w="1079" w:type="dxa"/>
          </w:tcPr>
          <w:p w14:paraId="5C961EE0" w14:textId="77777777" w:rsidR="008819D6" w:rsidRDefault="008819D6" w:rsidP="004E424E">
            <w:r>
              <w:t>.258**</w:t>
            </w:r>
          </w:p>
        </w:tc>
        <w:tc>
          <w:tcPr>
            <w:tcW w:w="1080" w:type="dxa"/>
          </w:tcPr>
          <w:p w14:paraId="062B5351" w14:textId="77777777" w:rsidR="008819D6" w:rsidRDefault="008819D6" w:rsidP="004E424E">
            <w:r>
              <w:t>.256</w:t>
            </w:r>
          </w:p>
        </w:tc>
      </w:tr>
      <w:tr w:rsidR="008819D6" w14:paraId="696E4B9A" w14:textId="77777777" w:rsidTr="004E424E">
        <w:tc>
          <w:tcPr>
            <w:tcW w:w="3101" w:type="dxa"/>
          </w:tcPr>
          <w:p w14:paraId="638980FF" w14:textId="77777777" w:rsidR="008819D6" w:rsidRDefault="008819D6" w:rsidP="004E424E">
            <w:r>
              <w:t>Attitudes of pro-inclusion at 11 weeks</w:t>
            </w:r>
          </w:p>
        </w:tc>
        <w:tc>
          <w:tcPr>
            <w:tcW w:w="1079" w:type="dxa"/>
          </w:tcPr>
          <w:p w14:paraId="2D268F5A" w14:textId="77777777" w:rsidR="008819D6" w:rsidRDefault="008819D6" w:rsidP="004E424E"/>
        </w:tc>
        <w:tc>
          <w:tcPr>
            <w:tcW w:w="1079" w:type="dxa"/>
          </w:tcPr>
          <w:p w14:paraId="3B564BEF" w14:textId="77777777" w:rsidR="008819D6" w:rsidRDefault="008819D6" w:rsidP="004E424E"/>
        </w:tc>
        <w:tc>
          <w:tcPr>
            <w:tcW w:w="1079" w:type="dxa"/>
          </w:tcPr>
          <w:p w14:paraId="78ABDA4D" w14:textId="77777777" w:rsidR="008819D6" w:rsidRDefault="008819D6" w:rsidP="004E424E"/>
        </w:tc>
        <w:tc>
          <w:tcPr>
            <w:tcW w:w="1079" w:type="dxa"/>
          </w:tcPr>
          <w:p w14:paraId="73E2AAF0" w14:textId="77777777" w:rsidR="008819D6" w:rsidRDefault="008819D6" w:rsidP="004E424E"/>
        </w:tc>
        <w:tc>
          <w:tcPr>
            <w:tcW w:w="1079" w:type="dxa"/>
          </w:tcPr>
          <w:p w14:paraId="59C4B9D7" w14:textId="77777777" w:rsidR="008819D6" w:rsidRDefault="008819D6" w:rsidP="004E424E">
            <w:r>
              <w:t>.473*</w:t>
            </w:r>
          </w:p>
        </w:tc>
        <w:tc>
          <w:tcPr>
            <w:tcW w:w="1080" w:type="dxa"/>
          </w:tcPr>
          <w:p w14:paraId="6B1A424C" w14:textId="77777777" w:rsidR="008819D6" w:rsidRDefault="008819D6" w:rsidP="004E424E">
            <w:r>
              <w:t>.185</w:t>
            </w:r>
          </w:p>
        </w:tc>
      </w:tr>
      <w:tr w:rsidR="008819D6" w14:paraId="0F5DFABD" w14:textId="77777777" w:rsidTr="004E424E">
        <w:tc>
          <w:tcPr>
            <w:tcW w:w="3101" w:type="dxa"/>
            <w:tcBorders>
              <w:bottom w:val="single" w:sz="4" w:space="0" w:color="auto"/>
            </w:tcBorders>
          </w:tcPr>
          <w:p w14:paraId="475745A9" w14:textId="77777777" w:rsidR="008819D6" w:rsidRDefault="008819D6" w:rsidP="004E424E">
            <w:r>
              <w:t>R</w:t>
            </w:r>
            <w:r>
              <w:rPr>
                <w:vertAlign w:val="superscript"/>
              </w:rPr>
              <w:t>2</w:t>
            </w:r>
          </w:p>
        </w:tc>
        <w:tc>
          <w:tcPr>
            <w:tcW w:w="1079" w:type="dxa"/>
            <w:tcBorders>
              <w:bottom w:val="single" w:sz="4" w:space="0" w:color="auto"/>
            </w:tcBorders>
          </w:tcPr>
          <w:p w14:paraId="7A1841C1" w14:textId="77777777" w:rsidR="008819D6" w:rsidRDefault="008819D6" w:rsidP="004E424E">
            <w:r>
              <w:t>.278</w:t>
            </w:r>
          </w:p>
        </w:tc>
        <w:tc>
          <w:tcPr>
            <w:tcW w:w="1079" w:type="dxa"/>
            <w:tcBorders>
              <w:bottom w:val="single" w:sz="4" w:space="0" w:color="auto"/>
            </w:tcBorders>
          </w:tcPr>
          <w:p w14:paraId="0F9F6F65" w14:textId="77777777" w:rsidR="008819D6" w:rsidRDefault="008819D6" w:rsidP="004E424E"/>
        </w:tc>
        <w:tc>
          <w:tcPr>
            <w:tcW w:w="1079" w:type="dxa"/>
            <w:tcBorders>
              <w:bottom w:val="single" w:sz="4" w:space="0" w:color="auto"/>
            </w:tcBorders>
          </w:tcPr>
          <w:p w14:paraId="728126EB" w14:textId="77777777" w:rsidR="008819D6" w:rsidRDefault="008819D6" w:rsidP="004E424E">
            <w:r>
              <w:t>.645**</w:t>
            </w:r>
          </w:p>
        </w:tc>
        <w:tc>
          <w:tcPr>
            <w:tcW w:w="1079" w:type="dxa"/>
            <w:tcBorders>
              <w:bottom w:val="single" w:sz="4" w:space="0" w:color="auto"/>
            </w:tcBorders>
          </w:tcPr>
          <w:p w14:paraId="5FBEEC2C" w14:textId="77777777" w:rsidR="008819D6" w:rsidRDefault="008819D6" w:rsidP="004E424E"/>
        </w:tc>
        <w:tc>
          <w:tcPr>
            <w:tcW w:w="1079" w:type="dxa"/>
            <w:tcBorders>
              <w:bottom w:val="single" w:sz="4" w:space="0" w:color="auto"/>
            </w:tcBorders>
          </w:tcPr>
          <w:p w14:paraId="3A7735EB" w14:textId="77777777" w:rsidR="008819D6" w:rsidRDefault="008819D6" w:rsidP="004E424E">
            <w:r>
              <w:t>.772**</w:t>
            </w:r>
          </w:p>
        </w:tc>
        <w:tc>
          <w:tcPr>
            <w:tcW w:w="1080" w:type="dxa"/>
            <w:tcBorders>
              <w:bottom w:val="single" w:sz="4" w:space="0" w:color="auto"/>
            </w:tcBorders>
          </w:tcPr>
          <w:p w14:paraId="0A5C3B5C" w14:textId="77777777" w:rsidR="008819D6" w:rsidRDefault="008819D6" w:rsidP="004E424E"/>
        </w:tc>
      </w:tr>
    </w:tbl>
    <w:p w14:paraId="2368CE9F" w14:textId="77777777" w:rsidR="008819D6" w:rsidRDefault="008819D6" w:rsidP="008819D6">
      <w:r>
        <w:t>* Significant at the .050 level</w:t>
      </w:r>
    </w:p>
    <w:p w14:paraId="06CB78D1" w14:textId="77777777" w:rsidR="008819D6" w:rsidRDefault="008819D6" w:rsidP="008819D6">
      <w:r>
        <w:t>** Significant at the .010 level</w:t>
      </w:r>
    </w:p>
    <w:p w14:paraId="46E68F3D" w14:textId="77777777" w:rsidR="008819D6" w:rsidRDefault="008819D6" w:rsidP="009342FC"/>
    <w:p w14:paraId="5FB4ADC8" w14:textId="75B71468" w:rsidR="00130B93" w:rsidRPr="00CE21CA" w:rsidRDefault="00130B93" w:rsidP="00130B93">
      <w:pPr>
        <w:spacing w:line="480" w:lineRule="auto"/>
        <w:rPr>
          <w:b/>
        </w:rPr>
      </w:pPr>
      <w:r>
        <w:t xml:space="preserve">Attitudes at the 7-week data point with Class 1 in the flipped model and Class 2 in the typical model predicated student attitudes at the end of the course. </w:t>
      </w:r>
      <w:r w:rsidR="00C5356C">
        <w:t xml:space="preserve">It </w:t>
      </w:r>
      <w:r>
        <w:t>appears the flipped classroom did not have an impact on attitudes.</w:t>
      </w:r>
    </w:p>
    <w:p w14:paraId="317BAC8C" w14:textId="1E29250C" w:rsidR="00130B93" w:rsidRPr="00D521CC" w:rsidRDefault="00130B93" w:rsidP="00130B93">
      <w:pPr>
        <w:spacing w:line="480" w:lineRule="auto"/>
      </w:pPr>
      <w:r>
        <w:rPr>
          <w:b/>
        </w:rPr>
        <w:lastRenderedPageBreak/>
        <w:tab/>
        <w:t>Pro-collaboration attitudes.</w:t>
      </w:r>
      <w:r>
        <w:t xml:space="preserve"> Finally, we analyzed the pro-collaboration attitudes of the students. TATIS statements in questions </w:t>
      </w:r>
      <w:r w:rsidR="00C5356C">
        <w:t xml:space="preserve">11 </w:t>
      </w:r>
      <w:r>
        <w:t xml:space="preserve">through </w:t>
      </w:r>
      <w:r w:rsidR="00C5356C">
        <w:t xml:space="preserve">14 </w:t>
      </w:r>
      <w:r>
        <w:t xml:space="preserve">emphasized the importance of </w:t>
      </w:r>
      <w:r w:rsidR="00C5356C">
        <w:t xml:space="preserve">collaboratively </w:t>
      </w:r>
      <w:r>
        <w:t xml:space="preserve">working with general education teachers and special education teachers to support the needs of all learners in the classroom. The models fitted predicted final pro-collaboration attitudes while controlling for demographic variables (i.e. having a family member with a disability, working with an individual with a disability, and gender) across the data points.  The first model combined both classes and we entered all variables in one block. The results displayed in Table </w:t>
      </w:r>
      <w:r w:rsidR="00AC7982">
        <w:t>6</w:t>
      </w:r>
      <w:r>
        <w:t xml:space="preserve"> show the pro-collaboration attitudes at 7-weeks were significant in predicting final pro-collaboration attitudes (p &lt; .01).    </w:t>
      </w:r>
    </w:p>
    <w:p w14:paraId="7201D4A4" w14:textId="2B7EFF99" w:rsidR="00346F8F" w:rsidRDefault="00346F8F" w:rsidP="00346F8F">
      <w:r>
        <w:t xml:space="preserve">Table </w:t>
      </w:r>
      <w:r w:rsidR="0034020D">
        <w:t>6</w:t>
      </w:r>
    </w:p>
    <w:p w14:paraId="4B4799F4" w14:textId="77777777" w:rsidR="00346F8F" w:rsidRPr="000A3D7D" w:rsidRDefault="00346F8F" w:rsidP="00346F8F">
      <w:pPr>
        <w:rPr>
          <w:i/>
        </w:rPr>
      </w:pPr>
      <w:r w:rsidRPr="000A3D7D">
        <w:rPr>
          <w:i/>
        </w:rPr>
        <w:t>Effects on Pro-Collaboration Attitudes at Course Completion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2570"/>
        <w:gridCol w:w="1250"/>
      </w:tblGrid>
      <w:tr w:rsidR="00346F8F" w14:paraId="411116C1" w14:textId="77777777" w:rsidTr="004E424E">
        <w:tc>
          <w:tcPr>
            <w:tcW w:w="4568" w:type="dxa"/>
            <w:tcBorders>
              <w:top w:val="single" w:sz="4" w:space="0" w:color="auto"/>
              <w:bottom w:val="single" w:sz="4" w:space="0" w:color="auto"/>
            </w:tcBorders>
          </w:tcPr>
          <w:p w14:paraId="14EA0195" w14:textId="77777777" w:rsidR="00346F8F" w:rsidRDefault="00346F8F" w:rsidP="004E424E">
            <w:r>
              <w:t>Variable Name</w:t>
            </w:r>
          </w:p>
        </w:tc>
        <w:tc>
          <w:tcPr>
            <w:tcW w:w="2570" w:type="dxa"/>
            <w:tcBorders>
              <w:top w:val="single" w:sz="4" w:space="0" w:color="auto"/>
              <w:bottom w:val="single" w:sz="4" w:space="0" w:color="auto"/>
            </w:tcBorders>
          </w:tcPr>
          <w:p w14:paraId="704B5FBB" w14:textId="77777777" w:rsidR="00346F8F" w:rsidRDefault="00346F8F" w:rsidP="004E424E">
            <w:r>
              <w:t>Beta</w:t>
            </w:r>
          </w:p>
        </w:tc>
        <w:tc>
          <w:tcPr>
            <w:tcW w:w="1250" w:type="dxa"/>
            <w:tcBorders>
              <w:top w:val="single" w:sz="4" w:space="0" w:color="auto"/>
              <w:bottom w:val="single" w:sz="4" w:space="0" w:color="auto"/>
            </w:tcBorders>
          </w:tcPr>
          <w:p w14:paraId="16A48864" w14:textId="77777777" w:rsidR="00346F8F" w:rsidRDefault="00346F8F" w:rsidP="004E424E">
            <w:r>
              <w:t>SE</w:t>
            </w:r>
          </w:p>
        </w:tc>
      </w:tr>
      <w:tr w:rsidR="00346F8F" w14:paraId="73D0D8B5" w14:textId="77777777" w:rsidTr="004E424E">
        <w:tc>
          <w:tcPr>
            <w:tcW w:w="4568" w:type="dxa"/>
            <w:tcBorders>
              <w:top w:val="single" w:sz="4" w:space="0" w:color="auto"/>
            </w:tcBorders>
          </w:tcPr>
          <w:p w14:paraId="47A2CD51" w14:textId="77777777" w:rsidR="00346F8F" w:rsidRDefault="00346F8F" w:rsidP="004E424E">
            <w:r>
              <w:t>Family member with a disability</w:t>
            </w:r>
          </w:p>
        </w:tc>
        <w:tc>
          <w:tcPr>
            <w:tcW w:w="2570" w:type="dxa"/>
            <w:tcBorders>
              <w:top w:val="single" w:sz="4" w:space="0" w:color="auto"/>
            </w:tcBorders>
          </w:tcPr>
          <w:p w14:paraId="4BAB8925" w14:textId="77777777" w:rsidR="00346F8F" w:rsidRDefault="00346F8F" w:rsidP="004E424E">
            <w:r>
              <w:t xml:space="preserve"> .123</w:t>
            </w:r>
          </w:p>
        </w:tc>
        <w:tc>
          <w:tcPr>
            <w:tcW w:w="1250" w:type="dxa"/>
            <w:tcBorders>
              <w:top w:val="single" w:sz="4" w:space="0" w:color="auto"/>
            </w:tcBorders>
          </w:tcPr>
          <w:p w14:paraId="0EB93FCA" w14:textId="77777777" w:rsidR="00346F8F" w:rsidRDefault="00346F8F" w:rsidP="004E424E">
            <w:r>
              <w:t>.243</w:t>
            </w:r>
          </w:p>
        </w:tc>
      </w:tr>
      <w:tr w:rsidR="00346F8F" w14:paraId="2969FBD0" w14:textId="77777777" w:rsidTr="004E424E">
        <w:tc>
          <w:tcPr>
            <w:tcW w:w="4568" w:type="dxa"/>
          </w:tcPr>
          <w:p w14:paraId="2E169E07" w14:textId="77777777" w:rsidR="00346F8F" w:rsidRDefault="00346F8F" w:rsidP="004E424E">
            <w:r>
              <w:t>Worked with an individual with a disability</w:t>
            </w:r>
          </w:p>
        </w:tc>
        <w:tc>
          <w:tcPr>
            <w:tcW w:w="2570" w:type="dxa"/>
          </w:tcPr>
          <w:p w14:paraId="34B93934" w14:textId="77777777" w:rsidR="00346F8F" w:rsidRDefault="00346F8F" w:rsidP="004E424E">
            <w:r>
              <w:t xml:space="preserve"> .009</w:t>
            </w:r>
          </w:p>
        </w:tc>
        <w:tc>
          <w:tcPr>
            <w:tcW w:w="1250" w:type="dxa"/>
          </w:tcPr>
          <w:p w14:paraId="40D43E62" w14:textId="77777777" w:rsidR="00346F8F" w:rsidRDefault="00346F8F" w:rsidP="004E424E">
            <w:r>
              <w:t>.222</w:t>
            </w:r>
          </w:p>
        </w:tc>
      </w:tr>
      <w:tr w:rsidR="00346F8F" w14:paraId="1224F647" w14:textId="77777777" w:rsidTr="004E424E">
        <w:tc>
          <w:tcPr>
            <w:tcW w:w="4568" w:type="dxa"/>
          </w:tcPr>
          <w:p w14:paraId="61EE159B" w14:textId="77777777" w:rsidR="00346F8F" w:rsidRDefault="00346F8F" w:rsidP="004E424E">
            <w:r>
              <w:t>Gender</w:t>
            </w:r>
          </w:p>
        </w:tc>
        <w:tc>
          <w:tcPr>
            <w:tcW w:w="2570" w:type="dxa"/>
          </w:tcPr>
          <w:p w14:paraId="05BFBA3F" w14:textId="77777777" w:rsidR="00346F8F" w:rsidRDefault="00346F8F" w:rsidP="004E424E">
            <w:r>
              <w:t>.140</w:t>
            </w:r>
          </w:p>
        </w:tc>
        <w:tc>
          <w:tcPr>
            <w:tcW w:w="1250" w:type="dxa"/>
          </w:tcPr>
          <w:p w14:paraId="2758BBAF" w14:textId="77777777" w:rsidR="00346F8F" w:rsidRDefault="00346F8F" w:rsidP="004E424E">
            <w:r>
              <w:t>.250</w:t>
            </w:r>
          </w:p>
        </w:tc>
      </w:tr>
      <w:tr w:rsidR="00346F8F" w14:paraId="14FBA39D" w14:textId="77777777" w:rsidTr="004E424E">
        <w:tc>
          <w:tcPr>
            <w:tcW w:w="4568" w:type="dxa"/>
          </w:tcPr>
          <w:p w14:paraId="2F08C322" w14:textId="77777777" w:rsidR="00346F8F" w:rsidRDefault="00346F8F" w:rsidP="004E424E">
            <w:r>
              <w:t>Initial attitudes of pro-collaboration</w:t>
            </w:r>
          </w:p>
        </w:tc>
        <w:tc>
          <w:tcPr>
            <w:tcW w:w="2570" w:type="dxa"/>
          </w:tcPr>
          <w:p w14:paraId="7E32B1CF" w14:textId="77777777" w:rsidR="00346F8F" w:rsidRDefault="00346F8F" w:rsidP="004E424E">
            <w:r>
              <w:t xml:space="preserve"> .011</w:t>
            </w:r>
          </w:p>
        </w:tc>
        <w:tc>
          <w:tcPr>
            <w:tcW w:w="1250" w:type="dxa"/>
          </w:tcPr>
          <w:p w14:paraId="79DC56D2" w14:textId="77777777" w:rsidR="00346F8F" w:rsidRDefault="00346F8F" w:rsidP="004E424E">
            <w:r>
              <w:t>.162</w:t>
            </w:r>
          </w:p>
        </w:tc>
      </w:tr>
      <w:tr w:rsidR="00346F8F" w14:paraId="63F94CC7" w14:textId="77777777" w:rsidTr="004E424E">
        <w:tc>
          <w:tcPr>
            <w:tcW w:w="4568" w:type="dxa"/>
          </w:tcPr>
          <w:p w14:paraId="14C0721D" w14:textId="77777777" w:rsidR="00346F8F" w:rsidRDefault="00346F8F" w:rsidP="004E424E">
            <w:r>
              <w:t>Attitudes of pro-collaboration at 7 weeks</w:t>
            </w:r>
          </w:p>
        </w:tc>
        <w:tc>
          <w:tcPr>
            <w:tcW w:w="2570" w:type="dxa"/>
          </w:tcPr>
          <w:p w14:paraId="35E67F3A" w14:textId="77777777" w:rsidR="00346F8F" w:rsidRDefault="00346F8F" w:rsidP="004E424E">
            <w:r>
              <w:t xml:space="preserve"> .632**</w:t>
            </w:r>
          </w:p>
        </w:tc>
        <w:tc>
          <w:tcPr>
            <w:tcW w:w="1250" w:type="dxa"/>
          </w:tcPr>
          <w:p w14:paraId="66ABB2DA" w14:textId="77777777" w:rsidR="00346F8F" w:rsidRDefault="00346F8F" w:rsidP="004E424E">
            <w:r>
              <w:t>.202</w:t>
            </w:r>
          </w:p>
        </w:tc>
      </w:tr>
      <w:tr w:rsidR="00346F8F" w14:paraId="05C41148" w14:textId="77777777" w:rsidTr="004E424E">
        <w:tc>
          <w:tcPr>
            <w:tcW w:w="4568" w:type="dxa"/>
          </w:tcPr>
          <w:p w14:paraId="6E036A99" w14:textId="77777777" w:rsidR="00346F8F" w:rsidRDefault="00346F8F" w:rsidP="004E424E">
            <w:r>
              <w:t>Attitudes of pro-collaboration at 11 weeks</w:t>
            </w:r>
          </w:p>
        </w:tc>
        <w:tc>
          <w:tcPr>
            <w:tcW w:w="2570" w:type="dxa"/>
          </w:tcPr>
          <w:p w14:paraId="141D5689" w14:textId="77777777" w:rsidR="00346F8F" w:rsidRDefault="00346F8F" w:rsidP="004E424E">
            <w:r>
              <w:t xml:space="preserve"> .260</w:t>
            </w:r>
          </w:p>
        </w:tc>
        <w:tc>
          <w:tcPr>
            <w:tcW w:w="1250" w:type="dxa"/>
          </w:tcPr>
          <w:p w14:paraId="448D8F6D" w14:textId="77777777" w:rsidR="00346F8F" w:rsidRDefault="00346F8F" w:rsidP="004E424E">
            <w:r>
              <w:t>.197</w:t>
            </w:r>
          </w:p>
        </w:tc>
      </w:tr>
      <w:tr w:rsidR="00346F8F" w14:paraId="576ED4A2" w14:textId="77777777" w:rsidTr="004E424E">
        <w:tc>
          <w:tcPr>
            <w:tcW w:w="4568" w:type="dxa"/>
            <w:tcBorders>
              <w:bottom w:val="single" w:sz="4" w:space="0" w:color="auto"/>
            </w:tcBorders>
          </w:tcPr>
          <w:p w14:paraId="4DD7B1F9" w14:textId="77777777" w:rsidR="00346F8F" w:rsidRPr="00020C7B" w:rsidRDefault="00346F8F" w:rsidP="004E424E">
            <w:pPr>
              <w:rPr>
                <w:vertAlign w:val="superscript"/>
              </w:rPr>
            </w:pPr>
            <w:r>
              <w:t>R</w:t>
            </w:r>
            <w:r>
              <w:rPr>
                <w:vertAlign w:val="superscript"/>
              </w:rPr>
              <w:t>2</w:t>
            </w:r>
          </w:p>
        </w:tc>
        <w:tc>
          <w:tcPr>
            <w:tcW w:w="2570" w:type="dxa"/>
            <w:tcBorders>
              <w:bottom w:val="single" w:sz="4" w:space="0" w:color="auto"/>
            </w:tcBorders>
          </w:tcPr>
          <w:p w14:paraId="66D38DD9" w14:textId="77777777" w:rsidR="00346F8F" w:rsidRDefault="00346F8F" w:rsidP="004E424E">
            <w:r>
              <w:t xml:space="preserve"> .674**</w:t>
            </w:r>
          </w:p>
        </w:tc>
        <w:tc>
          <w:tcPr>
            <w:tcW w:w="1250" w:type="dxa"/>
            <w:tcBorders>
              <w:bottom w:val="single" w:sz="4" w:space="0" w:color="auto"/>
            </w:tcBorders>
          </w:tcPr>
          <w:p w14:paraId="5CF5A95A" w14:textId="77777777" w:rsidR="00346F8F" w:rsidRDefault="00346F8F" w:rsidP="004E424E"/>
        </w:tc>
      </w:tr>
    </w:tbl>
    <w:p w14:paraId="51E03D1E" w14:textId="77777777" w:rsidR="00346F8F" w:rsidRDefault="00346F8F" w:rsidP="00346F8F">
      <w:r>
        <w:t>* Significant at the .050 level</w:t>
      </w:r>
    </w:p>
    <w:p w14:paraId="229581D1" w14:textId="77777777" w:rsidR="00346F8F" w:rsidRDefault="00346F8F" w:rsidP="00346F8F">
      <w:r>
        <w:t>** Significant at the .010 level</w:t>
      </w:r>
    </w:p>
    <w:p w14:paraId="5CA1E134" w14:textId="77777777" w:rsidR="00346F8F" w:rsidRDefault="00346F8F" w:rsidP="009342FC">
      <w:pPr>
        <w:ind w:firstLine="720"/>
      </w:pPr>
    </w:p>
    <w:p w14:paraId="12AE7B54" w14:textId="6DEAD7B9" w:rsidR="00AB38FA" w:rsidRDefault="00130B93" w:rsidP="00A33CB7">
      <w:pPr>
        <w:spacing w:line="480" w:lineRule="auto"/>
        <w:ind w:firstLine="720"/>
      </w:pPr>
      <w:r>
        <w:t>We separated the two classes in order to analyze each of the data points and compare flipped instruction to typical instruction.  A step-wise regression model was used to first control for demographic variables and initial attitudes, then add</w:t>
      </w:r>
      <w:r w:rsidR="00ED36DB">
        <w:t>ed</w:t>
      </w:r>
      <w:r>
        <w:t xml:space="preserve"> the seco</w:t>
      </w:r>
      <w:r w:rsidR="00572E67">
        <w:t>nd data point of attitudes at 7-</w:t>
      </w:r>
      <w:r>
        <w:t>weeks, and finally add</w:t>
      </w:r>
      <w:r w:rsidR="00ED36DB">
        <w:t>ed</w:t>
      </w:r>
      <w:r>
        <w:t xml:space="preserve"> attitudes at 11-weeks.  Class 1 results are displayed in Table </w:t>
      </w:r>
      <w:r w:rsidR="00AC7982">
        <w:t>7</w:t>
      </w:r>
      <w:r>
        <w:t xml:space="preserve">.  In the first model, the initial attitudes towards pro-collaboration were significant (p &lt; .05) in predicting final attitudes.  In the second model the initial attitudes lost significance but attitudes at 7-weeks were significant in predicting final attitudes (p &lt; .05).  The third model shows all the data points </w:t>
      </w:r>
      <w:r>
        <w:lastRenderedPageBreak/>
        <w:t>losing significance and a demographic variable being significant (p &lt; .05).  However, more information would need to be collected to understand why this occurred.</w:t>
      </w:r>
    </w:p>
    <w:p w14:paraId="3D42DC41" w14:textId="6562C32D" w:rsidR="005620E7" w:rsidRDefault="005620E7" w:rsidP="005620E7">
      <w:r>
        <w:t xml:space="preserve">Table </w:t>
      </w:r>
      <w:r w:rsidR="0034020D">
        <w:t>7</w:t>
      </w:r>
    </w:p>
    <w:p w14:paraId="490873A4" w14:textId="77777777" w:rsidR="005620E7" w:rsidRPr="000A3D7D" w:rsidRDefault="005620E7" w:rsidP="005620E7">
      <w:pPr>
        <w:rPr>
          <w:i/>
        </w:rPr>
      </w:pPr>
      <w:r w:rsidRPr="000A3D7D">
        <w:rPr>
          <w:i/>
        </w:rPr>
        <w:t>Effects on Pro-Collaboration Attitudes at Course Completion for Class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1079"/>
        <w:gridCol w:w="1079"/>
        <w:gridCol w:w="1079"/>
        <w:gridCol w:w="1079"/>
        <w:gridCol w:w="1079"/>
        <w:gridCol w:w="1080"/>
      </w:tblGrid>
      <w:tr w:rsidR="005620E7" w14:paraId="5B55B223" w14:textId="77777777" w:rsidTr="004E424E">
        <w:tc>
          <w:tcPr>
            <w:tcW w:w="3101" w:type="dxa"/>
            <w:tcBorders>
              <w:top w:val="single" w:sz="4" w:space="0" w:color="auto"/>
            </w:tcBorders>
          </w:tcPr>
          <w:p w14:paraId="64494619" w14:textId="77777777" w:rsidR="005620E7" w:rsidRDefault="005620E7" w:rsidP="004E424E">
            <w:r>
              <w:t>Variable Name</w:t>
            </w:r>
          </w:p>
        </w:tc>
        <w:tc>
          <w:tcPr>
            <w:tcW w:w="2158" w:type="dxa"/>
            <w:gridSpan w:val="2"/>
            <w:tcBorders>
              <w:top w:val="single" w:sz="4" w:space="0" w:color="auto"/>
            </w:tcBorders>
          </w:tcPr>
          <w:p w14:paraId="6A132005" w14:textId="77777777" w:rsidR="005620E7" w:rsidRDefault="005620E7" w:rsidP="004E424E">
            <w:pPr>
              <w:jc w:val="center"/>
            </w:pPr>
            <w:r>
              <w:t>Model 1</w:t>
            </w:r>
          </w:p>
        </w:tc>
        <w:tc>
          <w:tcPr>
            <w:tcW w:w="2158" w:type="dxa"/>
            <w:gridSpan w:val="2"/>
            <w:tcBorders>
              <w:top w:val="single" w:sz="4" w:space="0" w:color="auto"/>
            </w:tcBorders>
          </w:tcPr>
          <w:p w14:paraId="7AC05214" w14:textId="77777777" w:rsidR="005620E7" w:rsidRDefault="005620E7" w:rsidP="004E424E">
            <w:pPr>
              <w:jc w:val="center"/>
            </w:pPr>
            <w:r>
              <w:t>Model 2</w:t>
            </w:r>
          </w:p>
        </w:tc>
        <w:tc>
          <w:tcPr>
            <w:tcW w:w="2159" w:type="dxa"/>
            <w:gridSpan w:val="2"/>
            <w:tcBorders>
              <w:top w:val="single" w:sz="4" w:space="0" w:color="auto"/>
            </w:tcBorders>
          </w:tcPr>
          <w:p w14:paraId="3F19C98B" w14:textId="77777777" w:rsidR="005620E7" w:rsidRDefault="005620E7" w:rsidP="004E424E">
            <w:pPr>
              <w:jc w:val="center"/>
            </w:pPr>
            <w:r>
              <w:t>Model 3</w:t>
            </w:r>
          </w:p>
        </w:tc>
      </w:tr>
      <w:tr w:rsidR="005620E7" w14:paraId="61797833" w14:textId="77777777" w:rsidTr="004E424E">
        <w:tc>
          <w:tcPr>
            <w:tcW w:w="3101" w:type="dxa"/>
            <w:tcBorders>
              <w:bottom w:val="single" w:sz="4" w:space="0" w:color="auto"/>
            </w:tcBorders>
          </w:tcPr>
          <w:p w14:paraId="019FBDFD" w14:textId="77777777" w:rsidR="005620E7" w:rsidRDefault="005620E7" w:rsidP="004E424E"/>
        </w:tc>
        <w:tc>
          <w:tcPr>
            <w:tcW w:w="1079" w:type="dxa"/>
            <w:tcBorders>
              <w:bottom w:val="single" w:sz="4" w:space="0" w:color="auto"/>
            </w:tcBorders>
          </w:tcPr>
          <w:p w14:paraId="68483B25" w14:textId="77777777" w:rsidR="005620E7" w:rsidRDefault="005620E7" w:rsidP="004E424E">
            <w:r>
              <w:t>Beta</w:t>
            </w:r>
          </w:p>
        </w:tc>
        <w:tc>
          <w:tcPr>
            <w:tcW w:w="1079" w:type="dxa"/>
            <w:tcBorders>
              <w:bottom w:val="single" w:sz="4" w:space="0" w:color="auto"/>
            </w:tcBorders>
          </w:tcPr>
          <w:p w14:paraId="3611E90A" w14:textId="77777777" w:rsidR="005620E7" w:rsidRDefault="005620E7" w:rsidP="004E424E">
            <w:r>
              <w:t>SE</w:t>
            </w:r>
          </w:p>
        </w:tc>
        <w:tc>
          <w:tcPr>
            <w:tcW w:w="1079" w:type="dxa"/>
            <w:tcBorders>
              <w:bottom w:val="single" w:sz="4" w:space="0" w:color="auto"/>
            </w:tcBorders>
          </w:tcPr>
          <w:p w14:paraId="6825E777" w14:textId="77777777" w:rsidR="005620E7" w:rsidRDefault="005620E7" w:rsidP="004E424E">
            <w:r>
              <w:t>Beta</w:t>
            </w:r>
          </w:p>
        </w:tc>
        <w:tc>
          <w:tcPr>
            <w:tcW w:w="1079" w:type="dxa"/>
            <w:tcBorders>
              <w:bottom w:val="single" w:sz="4" w:space="0" w:color="auto"/>
            </w:tcBorders>
          </w:tcPr>
          <w:p w14:paraId="112DC156" w14:textId="77777777" w:rsidR="005620E7" w:rsidRDefault="005620E7" w:rsidP="004E424E">
            <w:r>
              <w:t>SE</w:t>
            </w:r>
          </w:p>
        </w:tc>
        <w:tc>
          <w:tcPr>
            <w:tcW w:w="1079" w:type="dxa"/>
            <w:tcBorders>
              <w:bottom w:val="single" w:sz="4" w:space="0" w:color="auto"/>
            </w:tcBorders>
          </w:tcPr>
          <w:p w14:paraId="235EB272" w14:textId="77777777" w:rsidR="005620E7" w:rsidRDefault="005620E7" w:rsidP="004E424E">
            <w:r>
              <w:t>Beta</w:t>
            </w:r>
          </w:p>
        </w:tc>
        <w:tc>
          <w:tcPr>
            <w:tcW w:w="1080" w:type="dxa"/>
            <w:tcBorders>
              <w:bottom w:val="single" w:sz="4" w:space="0" w:color="auto"/>
            </w:tcBorders>
          </w:tcPr>
          <w:p w14:paraId="02F08DB8" w14:textId="77777777" w:rsidR="005620E7" w:rsidRDefault="005620E7" w:rsidP="004E424E">
            <w:r>
              <w:t>SE</w:t>
            </w:r>
          </w:p>
        </w:tc>
      </w:tr>
      <w:tr w:rsidR="005620E7" w14:paraId="7FCC2F9E" w14:textId="77777777" w:rsidTr="004E424E">
        <w:tc>
          <w:tcPr>
            <w:tcW w:w="3101" w:type="dxa"/>
            <w:tcBorders>
              <w:top w:val="single" w:sz="4" w:space="0" w:color="auto"/>
            </w:tcBorders>
          </w:tcPr>
          <w:p w14:paraId="0C052AC1" w14:textId="77777777" w:rsidR="005620E7" w:rsidRDefault="005620E7" w:rsidP="004E424E">
            <w:r>
              <w:t>Family member with a disability</w:t>
            </w:r>
          </w:p>
        </w:tc>
        <w:tc>
          <w:tcPr>
            <w:tcW w:w="1079" w:type="dxa"/>
            <w:tcBorders>
              <w:top w:val="single" w:sz="4" w:space="0" w:color="auto"/>
            </w:tcBorders>
          </w:tcPr>
          <w:p w14:paraId="3D45D9A6" w14:textId="77777777" w:rsidR="005620E7" w:rsidRDefault="005620E7" w:rsidP="004E424E">
            <w:r>
              <w:t xml:space="preserve"> .224</w:t>
            </w:r>
          </w:p>
        </w:tc>
        <w:tc>
          <w:tcPr>
            <w:tcW w:w="1079" w:type="dxa"/>
            <w:tcBorders>
              <w:top w:val="single" w:sz="4" w:space="0" w:color="auto"/>
            </w:tcBorders>
          </w:tcPr>
          <w:p w14:paraId="3BBB7D3D" w14:textId="77777777" w:rsidR="005620E7" w:rsidRDefault="005620E7" w:rsidP="004E424E">
            <w:r>
              <w:t>.452</w:t>
            </w:r>
          </w:p>
        </w:tc>
        <w:tc>
          <w:tcPr>
            <w:tcW w:w="1079" w:type="dxa"/>
            <w:tcBorders>
              <w:top w:val="single" w:sz="4" w:space="0" w:color="auto"/>
            </w:tcBorders>
          </w:tcPr>
          <w:p w14:paraId="22C04F06" w14:textId="77777777" w:rsidR="005620E7" w:rsidRDefault="005620E7" w:rsidP="004E424E">
            <w:r>
              <w:t xml:space="preserve"> .219</w:t>
            </w:r>
          </w:p>
        </w:tc>
        <w:tc>
          <w:tcPr>
            <w:tcW w:w="1079" w:type="dxa"/>
            <w:tcBorders>
              <w:top w:val="single" w:sz="4" w:space="0" w:color="auto"/>
            </w:tcBorders>
          </w:tcPr>
          <w:p w14:paraId="46A4660E" w14:textId="77777777" w:rsidR="005620E7" w:rsidRDefault="005620E7" w:rsidP="004E424E">
            <w:r>
              <w:t>.385</w:t>
            </w:r>
          </w:p>
        </w:tc>
        <w:tc>
          <w:tcPr>
            <w:tcW w:w="1079" w:type="dxa"/>
            <w:tcBorders>
              <w:top w:val="single" w:sz="4" w:space="0" w:color="auto"/>
            </w:tcBorders>
          </w:tcPr>
          <w:p w14:paraId="2BEC0EDD" w14:textId="77777777" w:rsidR="005620E7" w:rsidRDefault="005620E7" w:rsidP="004E424E">
            <w:r>
              <w:t>.369*</w:t>
            </w:r>
          </w:p>
        </w:tc>
        <w:tc>
          <w:tcPr>
            <w:tcW w:w="1080" w:type="dxa"/>
            <w:tcBorders>
              <w:top w:val="single" w:sz="4" w:space="0" w:color="auto"/>
            </w:tcBorders>
          </w:tcPr>
          <w:p w14:paraId="1A02FDB8" w14:textId="77777777" w:rsidR="005620E7" w:rsidRDefault="005620E7" w:rsidP="004E424E">
            <w:r>
              <w:t>.405</w:t>
            </w:r>
          </w:p>
        </w:tc>
      </w:tr>
      <w:tr w:rsidR="005620E7" w14:paraId="4E80CEA5" w14:textId="77777777" w:rsidTr="004E424E">
        <w:tc>
          <w:tcPr>
            <w:tcW w:w="3101" w:type="dxa"/>
          </w:tcPr>
          <w:p w14:paraId="574BADF1" w14:textId="77777777" w:rsidR="005620E7" w:rsidRDefault="005620E7" w:rsidP="004E424E">
            <w:r>
              <w:t>Worked with an individual with a disability</w:t>
            </w:r>
          </w:p>
        </w:tc>
        <w:tc>
          <w:tcPr>
            <w:tcW w:w="1079" w:type="dxa"/>
          </w:tcPr>
          <w:p w14:paraId="0D5CE5F9" w14:textId="77777777" w:rsidR="005620E7" w:rsidRDefault="005620E7" w:rsidP="004E424E">
            <w:r>
              <w:t>-.264</w:t>
            </w:r>
          </w:p>
        </w:tc>
        <w:tc>
          <w:tcPr>
            <w:tcW w:w="1079" w:type="dxa"/>
          </w:tcPr>
          <w:p w14:paraId="3FEF38C1" w14:textId="77777777" w:rsidR="005620E7" w:rsidRDefault="005620E7" w:rsidP="004E424E">
            <w:r>
              <w:t>.391</w:t>
            </w:r>
          </w:p>
        </w:tc>
        <w:tc>
          <w:tcPr>
            <w:tcW w:w="1079" w:type="dxa"/>
          </w:tcPr>
          <w:p w14:paraId="57611FE6" w14:textId="77777777" w:rsidR="005620E7" w:rsidRDefault="005620E7" w:rsidP="004E424E">
            <w:r>
              <w:t>-.106</w:t>
            </w:r>
          </w:p>
        </w:tc>
        <w:tc>
          <w:tcPr>
            <w:tcW w:w="1079" w:type="dxa"/>
          </w:tcPr>
          <w:p w14:paraId="4411A7F3" w14:textId="77777777" w:rsidR="005620E7" w:rsidRDefault="005620E7" w:rsidP="004E424E">
            <w:r>
              <w:t>.354</w:t>
            </w:r>
          </w:p>
        </w:tc>
        <w:tc>
          <w:tcPr>
            <w:tcW w:w="1079" w:type="dxa"/>
          </w:tcPr>
          <w:p w14:paraId="7464F69B" w14:textId="77777777" w:rsidR="005620E7" w:rsidRDefault="005620E7" w:rsidP="004E424E">
            <w:r>
              <w:t>-.004</w:t>
            </w:r>
          </w:p>
        </w:tc>
        <w:tc>
          <w:tcPr>
            <w:tcW w:w="1080" w:type="dxa"/>
          </w:tcPr>
          <w:p w14:paraId="605596A3" w14:textId="77777777" w:rsidR="005620E7" w:rsidRDefault="005620E7" w:rsidP="004E424E">
            <w:r>
              <w:t>.308</w:t>
            </w:r>
          </w:p>
        </w:tc>
      </w:tr>
      <w:tr w:rsidR="005620E7" w14:paraId="559B685A" w14:textId="77777777" w:rsidTr="004E424E">
        <w:tc>
          <w:tcPr>
            <w:tcW w:w="3101" w:type="dxa"/>
          </w:tcPr>
          <w:p w14:paraId="3E846B34" w14:textId="77777777" w:rsidR="005620E7" w:rsidRDefault="005620E7" w:rsidP="004E424E">
            <w:r>
              <w:t>Initial attitudes of pro-collaboration</w:t>
            </w:r>
          </w:p>
        </w:tc>
        <w:tc>
          <w:tcPr>
            <w:tcW w:w="1079" w:type="dxa"/>
          </w:tcPr>
          <w:p w14:paraId="79118CDE" w14:textId="77777777" w:rsidR="005620E7" w:rsidRDefault="005620E7" w:rsidP="004E424E">
            <w:r>
              <w:t xml:space="preserve"> .593*</w:t>
            </w:r>
          </w:p>
        </w:tc>
        <w:tc>
          <w:tcPr>
            <w:tcW w:w="1079" w:type="dxa"/>
          </w:tcPr>
          <w:p w14:paraId="31561ED4" w14:textId="77777777" w:rsidR="005620E7" w:rsidRDefault="005620E7" w:rsidP="004E424E">
            <w:r>
              <w:t>.192</w:t>
            </w:r>
          </w:p>
        </w:tc>
        <w:tc>
          <w:tcPr>
            <w:tcW w:w="1079" w:type="dxa"/>
          </w:tcPr>
          <w:p w14:paraId="4FE9805C" w14:textId="77777777" w:rsidR="005620E7" w:rsidRDefault="005620E7" w:rsidP="004E424E">
            <w:r>
              <w:t>.234</w:t>
            </w:r>
          </w:p>
        </w:tc>
        <w:tc>
          <w:tcPr>
            <w:tcW w:w="1079" w:type="dxa"/>
          </w:tcPr>
          <w:p w14:paraId="4BEE1EFD" w14:textId="77777777" w:rsidR="005620E7" w:rsidRDefault="005620E7" w:rsidP="004E424E">
            <w:r>
              <w:t>.211</w:t>
            </w:r>
          </w:p>
        </w:tc>
        <w:tc>
          <w:tcPr>
            <w:tcW w:w="1079" w:type="dxa"/>
          </w:tcPr>
          <w:p w14:paraId="0927BA63" w14:textId="77777777" w:rsidR="005620E7" w:rsidRDefault="005620E7" w:rsidP="004E424E">
            <w:r>
              <w:t>.057</w:t>
            </w:r>
          </w:p>
        </w:tc>
        <w:tc>
          <w:tcPr>
            <w:tcW w:w="1080" w:type="dxa"/>
          </w:tcPr>
          <w:p w14:paraId="54261FB6" w14:textId="77777777" w:rsidR="005620E7" w:rsidRDefault="005620E7" w:rsidP="004E424E">
            <w:r>
              <w:t>.189</w:t>
            </w:r>
          </w:p>
        </w:tc>
      </w:tr>
      <w:tr w:rsidR="005620E7" w14:paraId="4C9059F3" w14:textId="77777777" w:rsidTr="004E424E">
        <w:tc>
          <w:tcPr>
            <w:tcW w:w="3101" w:type="dxa"/>
          </w:tcPr>
          <w:p w14:paraId="45FF195D" w14:textId="77777777" w:rsidR="005620E7" w:rsidRDefault="005620E7" w:rsidP="004E424E">
            <w:r>
              <w:t>Attitudes of pro-collaboration at 7 weeks</w:t>
            </w:r>
          </w:p>
        </w:tc>
        <w:tc>
          <w:tcPr>
            <w:tcW w:w="1079" w:type="dxa"/>
          </w:tcPr>
          <w:p w14:paraId="667CE85D" w14:textId="77777777" w:rsidR="005620E7" w:rsidRDefault="005620E7" w:rsidP="004E424E"/>
        </w:tc>
        <w:tc>
          <w:tcPr>
            <w:tcW w:w="1079" w:type="dxa"/>
          </w:tcPr>
          <w:p w14:paraId="60EB20FC" w14:textId="77777777" w:rsidR="005620E7" w:rsidRDefault="005620E7" w:rsidP="004E424E"/>
        </w:tc>
        <w:tc>
          <w:tcPr>
            <w:tcW w:w="1079" w:type="dxa"/>
          </w:tcPr>
          <w:p w14:paraId="375D3E49" w14:textId="77777777" w:rsidR="005620E7" w:rsidRDefault="005620E7" w:rsidP="004E424E">
            <w:r>
              <w:t>.592*</w:t>
            </w:r>
          </w:p>
        </w:tc>
        <w:tc>
          <w:tcPr>
            <w:tcW w:w="1079" w:type="dxa"/>
          </w:tcPr>
          <w:p w14:paraId="0F2B4F17" w14:textId="77777777" w:rsidR="005620E7" w:rsidRDefault="005620E7" w:rsidP="004E424E">
            <w:r>
              <w:t>.271</w:t>
            </w:r>
          </w:p>
        </w:tc>
        <w:tc>
          <w:tcPr>
            <w:tcW w:w="1079" w:type="dxa"/>
          </w:tcPr>
          <w:p w14:paraId="0B85CD4C" w14:textId="77777777" w:rsidR="005620E7" w:rsidRDefault="005620E7" w:rsidP="004E424E">
            <w:r>
              <w:t>.632</w:t>
            </w:r>
          </w:p>
        </w:tc>
        <w:tc>
          <w:tcPr>
            <w:tcW w:w="1080" w:type="dxa"/>
          </w:tcPr>
          <w:p w14:paraId="272188F8" w14:textId="77777777" w:rsidR="005620E7" w:rsidRDefault="005620E7" w:rsidP="004E424E">
            <w:r>
              <w:t>.366</w:t>
            </w:r>
          </w:p>
        </w:tc>
      </w:tr>
      <w:tr w:rsidR="005620E7" w14:paraId="0FF2BE21" w14:textId="77777777" w:rsidTr="004E424E">
        <w:tc>
          <w:tcPr>
            <w:tcW w:w="3101" w:type="dxa"/>
          </w:tcPr>
          <w:p w14:paraId="58D7A088" w14:textId="77777777" w:rsidR="005620E7" w:rsidRDefault="005620E7" w:rsidP="004E424E">
            <w:r>
              <w:t>Attitudes of pro-collaboration at 11 weeks</w:t>
            </w:r>
          </w:p>
        </w:tc>
        <w:tc>
          <w:tcPr>
            <w:tcW w:w="1079" w:type="dxa"/>
          </w:tcPr>
          <w:p w14:paraId="633678C4" w14:textId="77777777" w:rsidR="005620E7" w:rsidRDefault="005620E7" w:rsidP="004E424E"/>
        </w:tc>
        <w:tc>
          <w:tcPr>
            <w:tcW w:w="1079" w:type="dxa"/>
          </w:tcPr>
          <w:p w14:paraId="3BC3DE9B" w14:textId="77777777" w:rsidR="005620E7" w:rsidRDefault="005620E7" w:rsidP="004E424E"/>
        </w:tc>
        <w:tc>
          <w:tcPr>
            <w:tcW w:w="1079" w:type="dxa"/>
          </w:tcPr>
          <w:p w14:paraId="643FAD42" w14:textId="77777777" w:rsidR="005620E7" w:rsidRDefault="005620E7" w:rsidP="004E424E"/>
        </w:tc>
        <w:tc>
          <w:tcPr>
            <w:tcW w:w="1079" w:type="dxa"/>
          </w:tcPr>
          <w:p w14:paraId="79E6ABB8" w14:textId="77777777" w:rsidR="005620E7" w:rsidRDefault="005620E7" w:rsidP="004E424E"/>
        </w:tc>
        <w:tc>
          <w:tcPr>
            <w:tcW w:w="1079" w:type="dxa"/>
          </w:tcPr>
          <w:p w14:paraId="21569D85" w14:textId="77777777" w:rsidR="005620E7" w:rsidRDefault="005620E7" w:rsidP="004E424E">
            <w:r>
              <w:t>.177</w:t>
            </w:r>
          </w:p>
        </w:tc>
        <w:tc>
          <w:tcPr>
            <w:tcW w:w="1080" w:type="dxa"/>
          </w:tcPr>
          <w:p w14:paraId="12E5AB8B" w14:textId="77777777" w:rsidR="005620E7" w:rsidRDefault="005620E7" w:rsidP="004E424E">
            <w:r>
              <w:t>.333</w:t>
            </w:r>
          </w:p>
        </w:tc>
      </w:tr>
      <w:tr w:rsidR="005620E7" w14:paraId="53E5CEA9" w14:textId="77777777" w:rsidTr="004E424E">
        <w:tc>
          <w:tcPr>
            <w:tcW w:w="3101" w:type="dxa"/>
            <w:tcBorders>
              <w:bottom w:val="single" w:sz="4" w:space="0" w:color="auto"/>
            </w:tcBorders>
          </w:tcPr>
          <w:p w14:paraId="6E74A82A" w14:textId="77777777" w:rsidR="005620E7" w:rsidRDefault="005620E7" w:rsidP="004E424E">
            <w:r>
              <w:t>R</w:t>
            </w:r>
            <w:r>
              <w:rPr>
                <w:vertAlign w:val="superscript"/>
              </w:rPr>
              <w:t>2</w:t>
            </w:r>
          </w:p>
        </w:tc>
        <w:tc>
          <w:tcPr>
            <w:tcW w:w="1079" w:type="dxa"/>
            <w:tcBorders>
              <w:bottom w:val="single" w:sz="4" w:space="0" w:color="auto"/>
            </w:tcBorders>
          </w:tcPr>
          <w:p w14:paraId="0C644B99" w14:textId="77777777" w:rsidR="005620E7" w:rsidRDefault="005620E7" w:rsidP="004E424E">
            <w:r>
              <w:t>.410*</w:t>
            </w:r>
          </w:p>
        </w:tc>
        <w:tc>
          <w:tcPr>
            <w:tcW w:w="1079" w:type="dxa"/>
            <w:tcBorders>
              <w:bottom w:val="single" w:sz="4" w:space="0" w:color="auto"/>
            </w:tcBorders>
          </w:tcPr>
          <w:p w14:paraId="7EB4D544" w14:textId="77777777" w:rsidR="005620E7" w:rsidRDefault="005620E7" w:rsidP="004E424E"/>
        </w:tc>
        <w:tc>
          <w:tcPr>
            <w:tcW w:w="1079" w:type="dxa"/>
            <w:tcBorders>
              <w:bottom w:val="single" w:sz="4" w:space="0" w:color="auto"/>
            </w:tcBorders>
          </w:tcPr>
          <w:p w14:paraId="7A6683BE" w14:textId="77777777" w:rsidR="005620E7" w:rsidRDefault="005620E7" w:rsidP="004E424E">
            <w:r>
              <w:t>.574**</w:t>
            </w:r>
          </w:p>
        </w:tc>
        <w:tc>
          <w:tcPr>
            <w:tcW w:w="1079" w:type="dxa"/>
            <w:tcBorders>
              <w:bottom w:val="single" w:sz="4" w:space="0" w:color="auto"/>
            </w:tcBorders>
          </w:tcPr>
          <w:p w14:paraId="49D8FB8C" w14:textId="77777777" w:rsidR="005620E7" w:rsidRDefault="005620E7" w:rsidP="004E424E"/>
        </w:tc>
        <w:tc>
          <w:tcPr>
            <w:tcW w:w="1079" w:type="dxa"/>
            <w:tcBorders>
              <w:bottom w:val="single" w:sz="4" w:space="0" w:color="auto"/>
            </w:tcBorders>
          </w:tcPr>
          <w:p w14:paraId="2436F683" w14:textId="77777777" w:rsidR="005620E7" w:rsidRDefault="005620E7" w:rsidP="004E424E">
            <w:r>
              <w:t>.692**</w:t>
            </w:r>
          </w:p>
        </w:tc>
        <w:tc>
          <w:tcPr>
            <w:tcW w:w="1080" w:type="dxa"/>
            <w:tcBorders>
              <w:bottom w:val="single" w:sz="4" w:space="0" w:color="auto"/>
            </w:tcBorders>
          </w:tcPr>
          <w:p w14:paraId="6B9BD275" w14:textId="77777777" w:rsidR="005620E7" w:rsidRDefault="005620E7" w:rsidP="004E424E"/>
        </w:tc>
      </w:tr>
    </w:tbl>
    <w:p w14:paraId="3236027C" w14:textId="77777777" w:rsidR="005620E7" w:rsidRDefault="005620E7" w:rsidP="005620E7">
      <w:r>
        <w:t>* Significant at the .050 level</w:t>
      </w:r>
    </w:p>
    <w:p w14:paraId="5D0A27C3" w14:textId="77777777" w:rsidR="005620E7" w:rsidRDefault="005620E7" w:rsidP="005620E7">
      <w:r>
        <w:t>** Significant at the .010 level</w:t>
      </w:r>
    </w:p>
    <w:p w14:paraId="69A44013" w14:textId="77777777" w:rsidR="005620E7" w:rsidRDefault="005620E7" w:rsidP="009342FC">
      <w:pPr>
        <w:ind w:firstLine="720"/>
      </w:pPr>
    </w:p>
    <w:p w14:paraId="620D397E" w14:textId="3B9A29DA" w:rsidR="00287D01" w:rsidRDefault="00130B93" w:rsidP="000C594D">
      <w:pPr>
        <w:spacing w:line="480" w:lineRule="auto"/>
        <w:ind w:firstLine="720"/>
      </w:pPr>
      <w:r>
        <w:t xml:space="preserve">Class 2 results are shown in Table </w:t>
      </w:r>
      <w:r w:rsidR="00AC7982">
        <w:t>8</w:t>
      </w:r>
      <w:r>
        <w:t xml:space="preserve"> with the same step-wise regression model. Model 1 shows the initial attitudes towards pro-collaboration were highly significant in predicting final attitudes (p &lt; .01).  However, across models 2 and 3, the initial attitudes lost magnitude and significance. The second data point, attitudes at 7-weeks, was significant in model 2 (p &lt; .01) and significant in model 3 (p &lt; .05) with only a slight change in magnitude.  </w:t>
      </w:r>
    </w:p>
    <w:p w14:paraId="31C97F70" w14:textId="77777777" w:rsidR="00491F44" w:rsidRDefault="00491F44" w:rsidP="00862516"/>
    <w:p w14:paraId="1A2AC71A" w14:textId="77777777" w:rsidR="00491F44" w:rsidRDefault="00491F44" w:rsidP="00862516"/>
    <w:p w14:paraId="7624FAFF" w14:textId="77777777" w:rsidR="00491F44" w:rsidRDefault="00491F44" w:rsidP="00862516"/>
    <w:p w14:paraId="03BDFE94" w14:textId="77777777" w:rsidR="00491F44" w:rsidRDefault="00491F44" w:rsidP="00862516"/>
    <w:p w14:paraId="2ADC23A5" w14:textId="77777777" w:rsidR="00491F44" w:rsidRDefault="00491F44" w:rsidP="00862516"/>
    <w:p w14:paraId="5A504D67" w14:textId="77777777" w:rsidR="00491F44" w:rsidRDefault="00491F44" w:rsidP="00862516"/>
    <w:p w14:paraId="55B647CD" w14:textId="77777777" w:rsidR="00491F44" w:rsidRDefault="00491F44" w:rsidP="00862516"/>
    <w:p w14:paraId="4CED6614" w14:textId="77777777" w:rsidR="00491F44" w:rsidRDefault="00491F44" w:rsidP="00862516"/>
    <w:p w14:paraId="4A71E89A" w14:textId="77777777" w:rsidR="00491F44" w:rsidRDefault="00491F44" w:rsidP="00862516"/>
    <w:p w14:paraId="0EF545E6" w14:textId="77777777" w:rsidR="00491F44" w:rsidRDefault="00491F44" w:rsidP="00862516"/>
    <w:p w14:paraId="728735E2" w14:textId="77777777" w:rsidR="00491F44" w:rsidRDefault="00491F44" w:rsidP="00862516"/>
    <w:p w14:paraId="482B1B2F" w14:textId="77777777" w:rsidR="00491F44" w:rsidRDefault="00491F44" w:rsidP="00862516"/>
    <w:p w14:paraId="38BEAC1F" w14:textId="77777777" w:rsidR="00491F44" w:rsidRDefault="00491F44" w:rsidP="00862516"/>
    <w:p w14:paraId="05DDF722" w14:textId="77777777" w:rsidR="00491F44" w:rsidRDefault="00491F44" w:rsidP="00862516"/>
    <w:p w14:paraId="753A3C58" w14:textId="244473A1" w:rsidR="00862516" w:rsidRDefault="00862516" w:rsidP="00862516">
      <w:r>
        <w:lastRenderedPageBreak/>
        <w:t xml:space="preserve">Table </w:t>
      </w:r>
      <w:r w:rsidR="0034020D">
        <w:t>8</w:t>
      </w:r>
    </w:p>
    <w:p w14:paraId="5629F760" w14:textId="77777777" w:rsidR="00862516" w:rsidRPr="00F14597" w:rsidRDefault="00862516" w:rsidP="00862516">
      <w:pPr>
        <w:rPr>
          <w:i/>
        </w:rPr>
      </w:pPr>
      <w:r w:rsidRPr="00F14597">
        <w:rPr>
          <w:i/>
        </w:rPr>
        <w:t>Effects on Pro-Collaboration Attitudes at Course Completion for Class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1079"/>
        <w:gridCol w:w="1079"/>
        <w:gridCol w:w="1079"/>
        <w:gridCol w:w="1079"/>
        <w:gridCol w:w="1079"/>
        <w:gridCol w:w="1080"/>
      </w:tblGrid>
      <w:tr w:rsidR="00862516" w14:paraId="7665B6F7" w14:textId="77777777" w:rsidTr="004E424E">
        <w:tc>
          <w:tcPr>
            <w:tcW w:w="3101" w:type="dxa"/>
            <w:tcBorders>
              <w:top w:val="single" w:sz="4" w:space="0" w:color="auto"/>
            </w:tcBorders>
          </w:tcPr>
          <w:p w14:paraId="2303FE03" w14:textId="77777777" w:rsidR="00862516" w:rsidRDefault="00862516" w:rsidP="004E424E">
            <w:r>
              <w:t>Variable Name</w:t>
            </w:r>
          </w:p>
        </w:tc>
        <w:tc>
          <w:tcPr>
            <w:tcW w:w="2158" w:type="dxa"/>
            <w:gridSpan w:val="2"/>
            <w:tcBorders>
              <w:top w:val="single" w:sz="4" w:space="0" w:color="auto"/>
            </w:tcBorders>
          </w:tcPr>
          <w:p w14:paraId="6B346E49" w14:textId="77777777" w:rsidR="00862516" w:rsidRDefault="00862516" w:rsidP="004E424E">
            <w:pPr>
              <w:jc w:val="center"/>
            </w:pPr>
            <w:r>
              <w:t>Model 1</w:t>
            </w:r>
          </w:p>
        </w:tc>
        <w:tc>
          <w:tcPr>
            <w:tcW w:w="2158" w:type="dxa"/>
            <w:gridSpan w:val="2"/>
            <w:tcBorders>
              <w:top w:val="single" w:sz="4" w:space="0" w:color="auto"/>
            </w:tcBorders>
          </w:tcPr>
          <w:p w14:paraId="5577E55F" w14:textId="77777777" w:rsidR="00862516" w:rsidRDefault="00862516" w:rsidP="004E424E">
            <w:pPr>
              <w:jc w:val="center"/>
            </w:pPr>
            <w:r>
              <w:t>Model 2</w:t>
            </w:r>
          </w:p>
        </w:tc>
        <w:tc>
          <w:tcPr>
            <w:tcW w:w="2159" w:type="dxa"/>
            <w:gridSpan w:val="2"/>
            <w:tcBorders>
              <w:top w:val="single" w:sz="4" w:space="0" w:color="auto"/>
            </w:tcBorders>
          </w:tcPr>
          <w:p w14:paraId="73A75B47" w14:textId="77777777" w:rsidR="00862516" w:rsidRDefault="00862516" w:rsidP="004E424E">
            <w:pPr>
              <w:jc w:val="center"/>
            </w:pPr>
            <w:r>
              <w:t>Model 3</w:t>
            </w:r>
          </w:p>
        </w:tc>
      </w:tr>
      <w:tr w:rsidR="00862516" w14:paraId="54FED23C" w14:textId="77777777" w:rsidTr="004E424E">
        <w:tc>
          <w:tcPr>
            <w:tcW w:w="3101" w:type="dxa"/>
            <w:tcBorders>
              <w:bottom w:val="single" w:sz="4" w:space="0" w:color="auto"/>
            </w:tcBorders>
          </w:tcPr>
          <w:p w14:paraId="37290B75" w14:textId="77777777" w:rsidR="00862516" w:rsidRDefault="00862516" w:rsidP="004E424E"/>
        </w:tc>
        <w:tc>
          <w:tcPr>
            <w:tcW w:w="1079" w:type="dxa"/>
            <w:tcBorders>
              <w:bottom w:val="single" w:sz="4" w:space="0" w:color="auto"/>
            </w:tcBorders>
          </w:tcPr>
          <w:p w14:paraId="3CA9465F" w14:textId="77777777" w:rsidR="00862516" w:rsidRDefault="00862516" w:rsidP="004E424E">
            <w:r>
              <w:t>Beta</w:t>
            </w:r>
          </w:p>
        </w:tc>
        <w:tc>
          <w:tcPr>
            <w:tcW w:w="1079" w:type="dxa"/>
            <w:tcBorders>
              <w:bottom w:val="single" w:sz="4" w:space="0" w:color="auto"/>
            </w:tcBorders>
          </w:tcPr>
          <w:p w14:paraId="44FD6D33" w14:textId="77777777" w:rsidR="00862516" w:rsidRDefault="00862516" w:rsidP="004E424E">
            <w:r>
              <w:t>SE</w:t>
            </w:r>
          </w:p>
        </w:tc>
        <w:tc>
          <w:tcPr>
            <w:tcW w:w="1079" w:type="dxa"/>
            <w:tcBorders>
              <w:bottom w:val="single" w:sz="4" w:space="0" w:color="auto"/>
            </w:tcBorders>
          </w:tcPr>
          <w:p w14:paraId="49530A54" w14:textId="77777777" w:rsidR="00862516" w:rsidRDefault="00862516" w:rsidP="004E424E">
            <w:r>
              <w:t>Beta</w:t>
            </w:r>
          </w:p>
        </w:tc>
        <w:tc>
          <w:tcPr>
            <w:tcW w:w="1079" w:type="dxa"/>
            <w:tcBorders>
              <w:bottom w:val="single" w:sz="4" w:space="0" w:color="auto"/>
            </w:tcBorders>
          </w:tcPr>
          <w:p w14:paraId="11C01953" w14:textId="77777777" w:rsidR="00862516" w:rsidRDefault="00862516" w:rsidP="004E424E">
            <w:r>
              <w:t>SE</w:t>
            </w:r>
          </w:p>
        </w:tc>
        <w:tc>
          <w:tcPr>
            <w:tcW w:w="1079" w:type="dxa"/>
            <w:tcBorders>
              <w:bottom w:val="single" w:sz="4" w:space="0" w:color="auto"/>
            </w:tcBorders>
          </w:tcPr>
          <w:p w14:paraId="119852B5" w14:textId="77777777" w:rsidR="00862516" w:rsidRDefault="00862516" w:rsidP="004E424E">
            <w:r>
              <w:t>Beta</w:t>
            </w:r>
          </w:p>
        </w:tc>
        <w:tc>
          <w:tcPr>
            <w:tcW w:w="1080" w:type="dxa"/>
            <w:tcBorders>
              <w:bottom w:val="single" w:sz="4" w:space="0" w:color="auto"/>
            </w:tcBorders>
          </w:tcPr>
          <w:p w14:paraId="1BA99D28" w14:textId="77777777" w:rsidR="00862516" w:rsidRDefault="00862516" w:rsidP="004E424E">
            <w:r>
              <w:t>SE</w:t>
            </w:r>
          </w:p>
        </w:tc>
      </w:tr>
      <w:tr w:rsidR="00862516" w14:paraId="12385603" w14:textId="77777777" w:rsidTr="004E424E">
        <w:tc>
          <w:tcPr>
            <w:tcW w:w="3101" w:type="dxa"/>
            <w:tcBorders>
              <w:top w:val="single" w:sz="4" w:space="0" w:color="auto"/>
            </w:tcBorders>
          </w:tcPr>
          <w:p w14:paraId="4ED4254F" w14:textId="77777777" w:rsidR="00862516" w:rsidRPr="004A62B0" w:rsidRDefault="00862516" w:rsidP="004E424E">
            <w:r>
              <w:t>Family member with a disability</w:t>
            </w:r>
          </w:p>
        </w:tc>
        <w:tc>
          <w:tcPr>
            <w:tcW w:w="1079" w:type="dxa"/>
            <w:tcBorders>
              <w:top w:val="single" w:sz="4" w:space="0" w:color="auto"/>
            </w:tcBorders>
          </w:tcPr>
          <w:p w14:paraId="3BA8158D" w14:textId="77777777" w:rsidR="00862516" w:rsidRDefault="00862516" w:rsidP="004E424E">
            <w:r>
              <w:t>-.049</w:t>
            </w:r>
          </w:p>
        </w:tc>
        <w:tc>
          <w:tcPr>
            <w:tcW w:w="1079" w:type="dxa"/>
            <w:tcBorders>
              <w:top w:val="single" w:sz="4" w:space="0" w:color="auto"/>
            </w:tcBorders>
          </w:tcPr>
          <w:p w14:paraId="3A4F917F" w14:textId="77777777" w:rsidR="00862516" w:rsidRDefault="00862516" w:rsidP="004E424E">
            <w:r>
              <w:t>.394</w:t>
            </w:r>
          </w:p>
        </w:tc>
        <w:tc>
          <w:tcPr>
            <w:tcW w:w="1079" w:type="dxa"/>
            <w:tcBorders>
              <w:top w:val="single" w:sz="4" w:space="0" w:color="auto"/>
            </w:tcBorders>
          </w:tcPr>
          <w:p w14:paraId="198D95B9" w14:textId="77777777" w:rsidR="00862516" w:rsidRDefault="00862516" w:rsidP="004E424E">
            <w:r>
              <w:t>-.025</w:t>
            </w:r>
          </w:p>
        </w:tc>
        <w:tc>
          <w:tcPr>
            <w:tcW w:w="1079" w:type="dxa"/>
            <w:tcBorders>
              <w:top w:val="single" w:sz="4" w:space="0" w:color="auto"/>
            </w:tcBorders>
          </w:tcPr>
          <w:p w14:paraId="67B592DA" w14:textId="77777777" w:rsidR="00862516" w:rsidRDefault="00862516" w:rsidP="004E424E">
            <w:r>
              <w:t>.345</w:t>
            </w:r>
          </w:p>
        </w:tc>
        <w:tc>
          <w:tcPr>
            <w:tcW w:w="1079" w:type="dxa"/>
            <w:tcBorders>
              <w:top w:val="single" w:sz="4" w:space="0" w:color="auto"/>
            </w:tcBorders>
          </w:tcPr>
          <w:p w14:paraId="3BCF9B53" w14:textId="77777777" w:rsidR="00862516" w:rsidRDefault="00862516" w:rsidP="004E424E">
            <w:r>
              <w:t>-.006</w:t>
            </w:r>
          </w:p>
        </w:tc>
        <w:tc>
          <w:tcPr>
            <w:tcW w:w="1080" w:type="dxa"/>
            <w:tcBorders>
              <w:top w:val="single" w:sz="4" w:space="0" w:color="auto"/>
            </w:tcBorders>
          </w:tcPr>
          <w:p w14:paraId="268688BC" w14:textId="77777777" w:rsidR="00862516" w:rsidRDefault="00862516" w:rsidP="004E424E">
            <w:r>
              <w:t>.348</w:t>
            </w:r>
          </w:p>
        </w:tc>
      </w:tr>
      <w:tr w:rsidR="00862516" w14:paraId="4C960834" w14:textId="77777777" w:rsidTr="004E424E">
        <w:tc>
          <w:tcPr>
            <w:tcW w:w="3101" w:type="dxa"/>
          </w:tcPr>
          <w:p w14:paraId="16487008" w14:textId="77777777" w:rsidR="00862516" w:rsidRPr="004A62B0" w:rsidRDefault="00862516" w:rsidP="004E424E">
            <w:r w:rsidRPr="004A62B0">
              <w:t>Worked with an individual with a disability</w:t>
            </w:r>
          </w:p>
        </w:tc>
        <w:tc>
          <w:tcPr>
            <w:tcW w:w="1079" w:type="dxa"/>
          </w:tcPr>
          <w:p w14:paraId="73FEAC8F" w14:textId="77777777" w:rsidR="00862516" w:rsidRDefault="00862516" w:rsidP="004E424E">
            <w:r>
              <w:t>.204</w:t>
            </w:r>
          </w:p>
        </w:tc>
        <w:tc>
          <w:tcPr>
            <w:tcW w:w="1079" w:type="dxa"/>
          </w:tcPr>
          <w:p w14:paraId="0C2ED8FF" w14:textId="77777777" w:rsidR="00862516" w:rsidRDefault="00862516" w:rsidP="004E424E">
            <w:r>
              <w:t>.413</w:t>
            </w:r>
          </w:p>
        </w:tc>
        <w:tc>
          <w:tcPr>
            <w:tcW w:w="1079" w:type="dxa"/>
          </w:tcPr>
          <w:p w14:paraId="7C47699A" w14:textId="77777777" w:rsidR="00862516" w:rsidRDefault="00862516" w:rsidP="004E424E">
            <w:r>
              <w:t>-.011</w:t>
            </w:r>
          </w:p>
        </w:tc>
        <w:tc>
          <w:tcPr>
            <w:tcW w:w="1079" w:type="dxa"/>
          </w:tcPr>
          <w:p w14:paraId="5AAB3746" w14:textId="77777777" w:rsidR="00862516" w:rsidRDefault="00862516" w:rsidP="004E424E">
            <w:r>
              <w:t>.368</w:t>
            </w:r>
          </w:p>
        </w:tc>
        <w:tc>
          <w:tcPr>
            <w:tcW w:w="1079" w:type="dxa"/>
          </w:tcPr>
          <w:p w14:paraId="75745BDB" w14:textId="77777777" w:rsidR="00862516" w:rsidRDefault="00862516" w:rsidP="004E424E">
            <w:r>
              <w:t>-.016</w:t>
            </w:r>
          </w:p>
        </w:tc>
        <w:tc>
          <w:tcPr>
            <w:tcW w:w="1080" w:type="dxa"/>
          </w:tcPr>
          <w:p w14:paraId="0BF4E230" w14:textId="77777777" w:rsidR="00862516" w:rsidRDefault="00862516" w:rsidP="004E424E">
            <w:r>
              <w:t>.369</w:t>
            </w:r>
          </w:p>
        </w:tc>
      </w:tr>
      <w:tr w:rsidR="00862516" w14:paraId="465BA84D" w14:textId="77777777" w:rsidTr="004E424E">
        <w:tc>
          <w:tcPr>
            <w:tcW w:w="3101" w:type="dxa"/>
          </w:tcPr>
          <w:p w14:paraId="32C598A5" w14:textId="77777777" w:rsidR="00862516" w:rsidRPr="004A62B0" w:rsidRDefault="00862516" w:rsidP="004E424E">
            <w:r w:rsidRPr="004A62B0">
              <w:t>Gender</w:t>
            </w:r>
          </w:p>
        </w:tc>
        <w:tc>
          <w:tcPr>
            <w:tcW w:w="1079" w:type="dxa"/>
          </w:tcPr>
          <w:p w14:paraId="617DBF0A" w14:textId="77777777" w:rsidR="00862516" w:rsidRDefault="00862516" w:rsidP="004E424E">
            <w:r>
              <w:t>.081</w:t>
            </w:r>
          </w:p>
        </w:tc>
        <w:tc>
          <w:tcPr>
            <w:tcW w:w="1079" w:type="dxa"/>
          </w:tcPr>
          <w:p w14:paraId="3016DF51" w14:textId="77777777" w:rsidR="00862516" w:rsidRDefault="00862516" w:rsidP="004E424E">
            <w:r>
              <w:t>.404</w:t>
            </w:r>
          </w:p>
        </w:tc>
        <w:tc>
          <w:tcPr>
            <w:tcW w:w="1079" w:type="dxa"/>
          </w:tcPr>
          <w:p w14:paraId="7881E37D" w14:textId="77777777" w:rsidR="00862516" w:rsidRDefault="00862516" w:rsidP="004E424E">
            <w:r>
              <w:t>.205</w:t>
            </w:r>
          </w:p>
        </w:tc>
        <w:tc>
          <w:tcPr>
            <w:tcW w:w="1079" w:type="dxa"/>
          </w:tcPr>
          <w:p w14:paraId="2A01340A" w14:textId="77777777" w:rsidR="00862516" w:rsidRDefault="00862516" w:rsidP="004E424E">
            <w:r>
              <w:t>.338</w:t>
            </w:r>
          </w:p>
        </w:tc>
        <w:tc>
          <w:tcPr>
            <w:tcW w:w="1079" w:type="dxa"/>
          </w:tcPr>
          <w:p w14:paraId="0B362067" w14:textId="77777777" w:rsidR="00862516" w:rsidRDefault="00862516" w:rsidP="004E424E">
            <w:r>
              <w:t>.122</w:t>
            </w:r>
          </w:p>
        </w:tc>
        <w:tc>
          <w:tcPr>
            <w:tcW w:w="1080" w:type="dxa"/>
          </w:tcPr>
          <w:p w14:paraId="3685CECF" w14:textId="77777777" w:rsidR="00862516" w:rsidRDefault="00862516" w:rsidP="004E424E">
            <w:r>
              <w:t>.375</w:t>
            </w:r>
          </w:p>
        </w:tc>
      </w:tr>
      <w:tr w:rsidR="00862516" w14:paraId="07417616" w14:textId="77777777" w:rsidTr="004E424E">
        <w:tc>
          <w:tcPr>
            <w:tcW w:w="3101" w:type="dxa"/>
          </w:tcPr>
          <w:p w14:paraId="4554684A" w14:textId="77777777" w:rsidR="00862516" w:rsidRPr="004A62B0" w:rsidRDefault="00862516" w:rsidP="004E424E">
            <w:r>
              <w:t>Initial attitudes of pro-collaboration</w:t>
            </w:r>
          </w:p>
        </w:tc>
        <w:tc>
          <w:tcPr>
            <w:tcW w:w="1079" w:type="dxa"/>
          </w:tcPr>
          <w:p w14:paraId="5231C250" w14:textId="77777777" w:rsidR="00862516" w:rsidRDefault="00862516" w:rsidP="004E424E">
            <w:r>
              <w:t>.714**</w:t>
            </w:r>
          </w:p>
        </w:tc>
        <w:tc>
          <w:tcPr>
            <w:tcW w:w="1079" w:type="dxa"/>
          </w:tcPr>
          <w:p w14:paraId="59F85253" w14:textId="77777777" w:rsidR="00862516" w:rsidRDefault="00862516" w:rsidP="004E424E">
            <w:r>
              <w:t>.251</w:t>
            </w:r>
          </w:p>
        </w:tc>
        <w:tc>
          <w:tcPr>
            <w:tcW w:w="1079" w:type="dxa"/>
          </w:tcPr>
          <w:p w14:paraId="267B1D22" w14:textId="77777777" w:rsidR="00862516" w:rsidRDefault="00862516" w:rsidP="004E424E">
            <w:r>
              <w:t>.118</w:t>
            </w:r>
          </w:p>
        </w:tc>
        <w:tc>
          <w:tcPr>
            <w:tcW w:w="1079" w:type="dxa"/>
          </w:tcPr>
          <w:p w14:paraId="5C19792B" w14:textId="77777777" w:rsidR="00862516" w:rsidRDefault="00862516" w:rsidP="004E424E">
            <w:r>
              <w:t>.300</w:t>
            </w:r>
          </w:p>
        </w:tc>
        <w:tc>
          <w:tcPr>
            <w:tcW w:w="1079" w:type="dxa"/>
          </w:tcPr>
          <w:p w14:paraId="584A3BF7" w14:textId="77777777" w:rsidR="00862516" w:rsidRDefault="00862516" w:rsidP="004E424E">
            <w:r>
              <w:t>.009</w:t>
            </w:r>
          </w:p>
        </w:tc>
        <w:tc>
          <w:tcPr>
            <w:tcW w:w="1080" w:type="dxa"/>
          </w:tcPr>
          <w:p w14:paraId="32EB484D" w14:textId="77777777" w:rsidR="00862516" w:rsidRDefault="00862516" w:rsidP="004E424E">
            <w:r>
              <w:t>.335</w:t>
            </w:r>
          </w:p>
        </w:tc>
      </w:tr>
      <w:tr w:rsidR="00862516" w14:paraId="4D5383EB" w14:textId="77777777" w:rsidTr="004E424E">
        <w:tc>
          <w:tcPr>
            <w:tcW w:w="3101" w:type="dxa"/>
          </w:tcPr>
          <w:p w14:paraId="755BE1BC" w14:textId="77777777" w:rsidR="00862516" w:rsidRPr="004A62B0" w:rsidRDefault="00862516" w:rsidP="004E424E">
            <w:r>
              <w:t>Attitudes of pro-collaboration at 7 weeks</w:t>
            </w:r>
          </w:p>
        </w:tc>
        <w:tc>
          <w:tcPr>
            <w:tcW w:w="1079" w:type="dxa"/>
          </w:tcPr>
          <w:p w14:paraId="60EFEEE4" w14:textId="77777777" w:rsidR="00862516" w:rsidRDefault="00862516" w:rsidP="004E424E"/>
        </w:tc>
        <w:tc>
          <w:tcPr>
            <w:tcW w:w="1079" w:type="dxa"/>
          </w:tcPr>
          <w:p w14:paraId="6FAC9BEF" w14:textId="77777777" w:rsidR="00862516" w:rsidRDefault="00862516" w:rsidP="004E424E"/>
        </w:tc>
        <w:tc>
          <w:tcPr>
            <w:tcW w:w="1079" w:type="dxa"/>
          </w:tcPr>
          <w:p w14:paraId="4BE70A5F" w14:textId="77777777" w:rsidR="00862516" w:rsidRDefault="00862516" w:rsidP="004E424E">
            <w:r>
              <w:t>.736**</w:t>
            </w:r>
          </w:p>
        </w:tc>
        <w:tc>
          <w:tcPr>
            <w:tcW w:w="1079" w:type="dxa"/>
          </w:tcPr>
          <w:p w14:paraId="7985C3BD" w14:textId="77777777" w:rsidR="00862516" w:rsidRDefault="00862516" w:rsidP="004E424E">
            <w:r>
              <w:t>.237</w:t>
            </w:r>
          </w:p>
        </w:tc>
        <w:tc>
          <w:tcPr>
            <w:tcW w:w="1079" w:type="dxa"/>
          </w:tcPr>
          <w:p w14:paraId="1BB312B6" w14:textId="77777777" w:rsidR="00862516" w:rsidRDefault="00862516" w:rsidP="004E424E">
            <w:r>
              <w:t>.602*</w:t>
            </w:r>
          </w:p>
        </w:tc>
        <w:tc>
          <w:tcPr>
            <w:tcW w:w="1080" w:type="dxa"/>
          </w:tcPr>
          <w:p w14:paraId="3FE19D12" w14:textId="77777777" w:rsidR="00862516" w:rsidRDefault="00862516" w:rsidP="004E424E">
            <w:r>
              <w:t>.281</w:t>
            </w:r>
          </w:p>
        </w:tc>
      </w:tr>
      <w:tr w:rsidR="00862516" w14:paraId="16D16789" w14:textId="77777777" w:rsidTr="004E424E">
        <w:tc>
          <w:tcPr>
            <w:tcW w:w="3101" w:type="dxa"/>
          </w:tcPr>
          <w:p w14:paraId="17F8BA0C" w14:textId="77777777" w:rsidR="00862516" w:rsidRPr="004A62B0" w:rsidRDefault="00862516" w:rsidP="004E424E">
            <w:r>
              <w:t>Attitudes of pro-collaboration at 11 weeks</w:t>
            </w:r>
          </w:p>
        </w:tc>
        <w:tc>
          <w:tcPr>
            <w:tcW w:w="1079" w:type="dxa"/>
          </w:tcPr>
          <w:p w14:paraId="3C061283" w14:textId="77777777" w:rsidR="00862516" w:rsidRDefault="00862516" w:rsidP="004E424E"/>
        </w:tc>
        <w:tc>
          <w:tcPr>
            <w:tcW w:w="1079" w:type="dxa"/>
          </w:tcPr>
          <w:p w14:paraId="5000EF40" w14:textId="77777777" w:rsidR="00862516" w:rsidRDefault="00862516" w:rsidP="004E424E"/>
        </w:tc>
        <w:tc>
          <w:tcPr>
            <w:tcW w:w="1079" w:type="dxa"/>
          </w:tcPr>
          <w:p w14:paraId="4EE744EA" w14:textId="77777777" w:rsidR="00862516" w:rsidRDefault="00862516" w:rsidP="004E424E"/>
        </w:tc>
        <w:tc>
          <w:tcPr>
            <w:tcW w:w="1079" w:type="dxa"/>
          </w:tcPr>
          <w:p w14:paraId="194B969B" w14:textId="77777777" w:rsidR="00862516" w:rsidRDefault="00862516" w:rsidP="004E424E"/>
        </w:tc>
        <w:tc>
          <w:tcPr>
            <w:tcW w:w="1079" w:type="dxa"/>
          </w:tcPr>
          <w:p w14:paraId="03DD8ABC" w14:textId="77777777" w:rsidR="00862516" w:rsidRDefault="00862516" w:rsidP="004E424E">
            <w:r>
              <w:t>.286</w:t>
            </w:r>
          </w:p>
        </w:tc>
        <w:tc>
          <w:tcPr>
            <w:tcW w:w="1080" w:type="dxa"/>
          </w:tcPr>
          <w:p w14:paraId="651FFA47" w14:textId="77777777" w:rsidR="00862516" w:rsidRDefault="00862516" w:rsidP="004E424E">
            <w:r>
              <w:t>.358</w:t>
            </w:r>
          </w:p>
        </w:tc>
      </w:tr>
      <w:tr w:rsidR="00862516" w14:paraId="0BF2E2D1" w14:textId="77777777" w:rsidTr="004E424E">
        <w:tc>
          <w:tcPr>
            <w:tcW w:w="3101" w:type="dxa"/>
            <w:tcBorders>
              <w:bottom w:val="single" w:sz="4" w:space="0" w:color="auto"/>
            </w:tcBorders>
          </w:tcPr>
          <w:p w14:paraId="7A7DC244" w14:textId="77777777" w:rsidR="00862516" w:rsidRPr="005F764B" w:rsidRDefault="00862516" w:rsidP="004E424E">
            <w:pPr>
              <w:rPr>
                <w:vertAlign w:val="superscript"/>
              </w:rPr>
            </w:pPr>
            <w:r w:rsidRPr="004A62B0">
              <w:t>R</w:t>
            </w:r>
            <w:r w:rsidRPr="004A62B0">
              <w:rPr>
                <w:vertAlign w:val="superscript"/>
              </w:rPr>
              <w:t>2</w:t>
            </w:r>
          </w:p>
        </w:tc>
        <w:tc>
          <w:tcPr>
            <w:tcW w:w="1079" w:type="dxa"/>
            <w:tcBorders>
              <w:bottom w:val="single" w:sz="4" w:space="0" w:color="auto"/>
            </w:tcBorders>
          </w:tcPr>
          <w:p w14:paraId="4592A031" w14:textId="77777777" w:rsidR="00862516" w:rsidRDefault="00862516" w:rsidP="004E424E">
            <w:r>
              <w:t>.375*</w:t>
            </w:r>
          </w:p>
        </w:tc>
        <w:tc>
          <w:tcPr>
            <w:tcW w:w="1079" w:type="dxa"/>
            <w:tcBorders>
              <w:bottom w:val="single" w:sz="4" w:space="0" w:color="auto"/>
            </w:tcBorders>
          </w:tcPr>
          <w:p w14:paraId="25184A73" w14:textId="77777777" w:rsidR="00862516" w:rsidRDefault="00862516" w:rsidP="004E424E"/>
        </w:tc>
        <w:tc>
          <w:tcPr>
            <w:tcW w:w="1079" w:type="dxa"/>
            <w:tcBorders>
              <w:bottom w:val="single" w:sz="4" w:space="0" w:color="auto"/>
            </w:tcBorders>
          </w:tcPr>
          <w:p w14:paraId="2FECDEAB" w14:textId="77777777" w:rsidR="00862516" w:rsidRDefault="00862516" w:rsidP="004E424E">
            <w:r>
              <w:t>.632**</w:t>
            </w:r>
          </w:p>
        </w:tc>
        <w:tc>
          <w:tcPr>
            <w:tcW w:w="1079" w:type="dxa"/>
            <w:tcBorders>
              <w:bottom w:val="single" w:sz="4" w:space="0" w:color="auto"/>
            </w:tcBorders>
          </w:tcPr>
          <w:p w14:paraId="2D270523" w14:textId="77777777" w:rsidR="00862516" w:rsidRDefault="00862516" w:rsidP="004E424E"/>
        </w:tc>
        <w:tc>
          <w:tcPr>
            <w:tcW w:w="1079" w:type="dxa"/>
            <w:tcBorders>
              <w:bottom w:val="single" w:sz="4" w:space="0" w:color="auto"/>
            </w:tcBorders>
          </w:tcPr>
          <w:p w14:paraId="4CFCE056" w14:textId="77777777" w:rsidR="00862516" w:rsidRDefault="00862516" w:rsidP="004E424E">
            <w:r>
              <w:t>.631**</w:t>
            </w:r>
          </w:p>
        </w:tc>
        <w:tc>
          <w:tcPr>
            <w:tcW w:w="1080" w:type="dxa"/>
            <w:tcBorders>
              <w:bottom w:val="single" w:sz="4" w:space="0" w:color="auto"/>
            </w:tcBorders>
          </w:tcPr>
          <w:p w14:paraId="1C372E2B" w14:textId="77777777" w:rsidR="00862516" w:rsidRDefault="00862516" w:rsidP="004E424E"/>
        </w:tc>
      </w:tr>
    </w:tbl>
    <w:p w14:paraId="7FF4326E" w14:textId="77777777" w:rsidR="00862516" w:rsidRDefault="00862516" w:rsidP="00862516">
      <w:r>
        <w:t>* Significant at the .050 level</w:t>
      </w:r>
    </w:p>
    <w:p w14:paraId="563FA33D" w14:textId="77777777" w:rsidR="00862516" w:rsidRDefault="00862516" w:rsidP="00862516">
      <w:r>
        <w:t>** Significant at the .010 level</w:t>
      </w:r>
    </w:p>
    <w:p w14:paraId="778CD813" w14:textId="77777777" w:rsidR="00E101D8" w:rsidRDefault="00E101D8" w:rsidP="00862516"/>
    <w:p w14:paraId="58117C2E" w14:textId="7FE94D67" w:rsidR="004A3461" w:rsidRPr="00FF1E9F" w:rsidRDefault="00130B93" w:rsidP="00FF1E9F">
      <w:pPr>
        <w:spacing w:line="480" w:lineRule="auto"/>
        <w:ind w:firstLine="720"/>
      </w:pPr>
      <w:r>
        <w:t>Similar to the results of the pro-inclusion attitudes, the most significant predictor of pro-collaboration attitudes appeared at the 7-week data point. At this data point, Class 1 received the flipped model of instruction while Class 2 received the typical model. Again, it appears the flipped classroom had no effect on pro-collaboration attitudes.</w:t>
      </w:r>
      <w:r w:rsidR="005D24E5">
        <w:t xml:space="preserve"> </w:t>
      </w:r>
    </w:p>
    <w:p w14:paraId="4E4A0C52" w14:textId="0DB7552F" w:rsidR="007F4A1F" w:rsidRDefault="008972A9" w:rsidP="008972A9">
      <w:pPr>
        <w:spacing w:line="480" w:lineRule="auto"/>
        <w:jc w:val="center"/>
        <w:rPr>
          <w:b/>
        </w:rPr>
      </w:pPr>
      <w:r w:rsidRPr="008972A9">
        <w:rPr>
          <w:b/>
        </w:rPr>
        <w:t>Discussion</w:t>
      </w:r>
    </w:p>
    <w:p w14:paraId="0F6D79B7" w14:textId="3EC064F2" w:rsidR="005D24E5" w:rsidRDefault="005D24E5" w:rsidP="008972A9">
      <w:pPr>
        <w:spacing w:line="480" w:lineRule="auto"/>
      </w:pPr>
      <w:r>
        <w:tab/>
        <w:t xml:space="preserve">The </w:t>
      </w:r>
      <w:r w:rsidR="00C5356C">
        <w:t xml:space="preserve">original </w:t>
      </w:r>
      <w:r>
        <w:t xml:space="preserve">research questions </w:t>
      </w:r>
      <w:r w:rsidR="00C5356C">
        <w:t>in this study</w:t>
      </w:r>
      <w:r>
        <w:t xml:space="preserve"> </w:t>
      </w:r>
      <w:r w:rsidR="002979B8">
        <w:t>examined</w:t>
      </w:r>
      <w:r>
        <w:t xml:space="preserve"> the effect</w:t>
      </w:r>
      <w:r w:rsidR="00C5356C">
        <w:t>s</w:t>
      </w:r>
      <w:r>
        <w:t xml:space="preserve"> of </w:t>
      </w:r>
      <w:r w:rsidR="00C5356C">
        <w:t xml:space="preserve">a flipped </w:t>
      </w:r>
      <w:r>
        <w:t xml:space="preserve">instructional model on students’ acquisition of </w:t>
      </w:r>
      <w:r w:rsidR="00E40747">
        <w:t>core practices</w:t>
      </w:r>
      <w:r>
        <w:t xml:space="preserve"> and attitudes towards inclusion and collaboration. Based on our analyses, </w:t>
      </w:r>
      <w:r w:rsidR="00887F5B">
        <w:t xml:space="preserve">the </w:t>
      </w:r>
      <w:r w:rsidR="00C5356C">
        <w:t xml:space="preserve">flipped </w:t>
      </w:r>
      <w:r>
        <w:t>instructional model</w:t>
      </w:r>
      <w:r w:rsidR="00887F5B">
        <w:t xml:space="preserve"> in our study </w:t>
      </w:r>
      <w:r>
        <w:t xml:space="preserve">demonstrated no significant impact on student learning in both classes. However, </w:t>
      </w:r>
      <w:r w:rsidR="00A33CB7">
        <w:t xml:space="preserve">we did find significance related to </w:t>
      </w:r>
      <w:r>
        <w:t xml:space="preserve">the </w:t>
      </w:r>
      <w:r w:rsidR="00887F5B">
        <w:t>impact of course content</w:t>
      </w:r>
      <w:r>
        <w:t xml:space="preserve"> </w:t>
      </w:r>
      <w:r w:rsidR="00887F5B">
        <w:t>on</w:t>
      </w:r>
      <w:r>
        <w:t xml:space="preserve"> students</w:t>
      </w:r>
      <w:r w:rsidR="00887F5B">
        <w:t>’</w:t>
      </w:r>
      <w:r>
        <w:t xml:space="preserve"> attitudes</w:t>
      </w:r>
      <w:r w:rsidR="002979B8">
        <w:t xml:space="preserve">. </w:t>
      </w:r>
      <w:r w:rsidR="00A33CB7">
        <w:t xml:space="preserve">In this section, we will discuss how these </w:t>
      </w:r>
      <w:r w:rsidR="00887F5B">
        <w:t xml:space="preserve">results have </w:t>
      </w:r>
      <w:r>
        <w:t xml:space="preserve">implications for </w:t>
      </w:r>
      <w:r w:rsidR="00380BC2">
        <w:t>PBTP</w:t>
      </w:r>
      <w:r>
        <w:t xml:space="preserve">. </w:t>
      </w:r>
    </w:p>
    <w:p w14:paraId="015FBC66" w14:textId="30E70E26" w:rsidR="008A387E" w:rsidRDefault="008A387E" w:rsidP="008972A9">
      <w:pPr>
        <w:spacing w:line="480" w:lineRule="auto"/>
      </w:pPr>
      <w:r>
        <w:tab/>
      </w:r>
      <w:r w:rsidR="008911D7">
        <w:t xml:space="preserve"> </w:t>
      </w:r>
      <w:r w:rsidR="00C5356C">
        <w:t>W</w:t>
      </w:r>
      <w:r w:rsidR="008911D7">
        <w:t xml:space="preserve">e </w:t>
      </w:r>
      <w:r w:rsidR="00C5356C">
        <w:t xml:space="preserve">initially </w:t>
      </w:r>
      <w:r w:rsidR="008911D7">
        <w:t xml:space="preserve">hypothesized that the </w:t>
      </w:r>
      <w:r w:rsidR="00C5356C">
        <w:t xml:space="preserve">flipped </w:t>
      </w:r>
      <w:r w:rsidR="008911D7">
        <w:t xml:space="preserve">instructional model of the course would serve as the key lever to increase student acquisition and application of </w:t>
      </w:r>
      <w:r w:rsidR="00444161">
        <w:t>core practices</w:t>
      </w:r>
      <w:r w:rsidR="008911D7">
        <w:t xml:space="preserve">. Particularly, the flipped model seemed promising due to this model’s ability to increase opportunities to learn for </w:t>
      </w:r>
      <w:r w:rsidR="008911D7">
        <w:lastRenderedPageBreak/>
        <w:t xml:space="preserve">pre-service teachers compared to the </w:t>
      </w:r>
      <w:r w:rsidR="00092124">
        <w:t xml:space="preserve">typical model. Ultimately, we </w:t>
      </w:r>
      <w:r w:rsidR="00715201">
        <w:t xml:space="preserve">did not find enough significance to </w:t>
      </w:r>
      <w:r w:rsidR="00092124">
        <w:t>reject</w:t>
      </w:r>
      <w:r w:rsidR="00715201">
        <w:t xml:space="preserve"> the null</w:t>
      </w:r>
      <w:r w:rsidR="00092124">
        <w:t xml:space="preserve"> hypothesis and determined that the flipped classroom in our study did not make a </w:t>
      </w:r>
      <w:r w:rsidR="00E5358E">
        <w:t>substantial</w:t>
      </w:r>
      <w:r w:rsidR="00092124">
        <w:t xml:space="preserve"> difference in pre-service teacher le</w:t>
      </w:r>
      <w:r w:rsidR="00E122C6">
        <w:t>arning. F</w:t>
      </w:r>
      <w:r w:rsidR="00092124">
        <w:t>uture research sh</w:t>
      </w:r>
      <w:r w:rsidR="00DF492E">
        <w:t>ould be conducted analyzing the flipped classroom model</w:t>
      </w:r>
      <w:r w:rsidR="00092124">
        <w:t xml:space="preserve"> </w:t>
      </w:r>
      <w:r w:rsidR="00DF492E">
        <w:t xml:space="preserve">using a variety of different techniques. For instance, </w:t>
      </w:r>
      <w:r w:rsidR="00092124">
        <w:t xml:space="preserve">when using </w:t>
      </w:r>
      <w:r w:rsidR="00E122C6">
        <w:t xml:space="preserve">a </w:t>
      </w:r>
      <w:r w:rsidR="00092124">
        <w:t xml:space="preserve">course textbook, the instructor could develop </w:t>
      </w:r>
      <w:r w:rsidR="00DF492E">
        <w:t xml:space="preserve">his or her own </w:t>
      </w:r>
      <w:r w:rsidR="00092124">
        <w:t xml:space="preserve">instructional materials rather than relying on an outside source such as the IRIS Center. </w:t>
      </w:r>
      <w:r w:rsidR="0030274F">
        <w:t xml:space="preserve">Conversely, </w:t>
      </w:r>
      <w:r w:rsidR="00F73BD3">
        <w:t xml:space="preserve">instructors could use an outside source like the IRIS modules without using a textbook. In both </w:t>
      </w:r>
      <w:r w:rsidR="00DF492E">
        <w:t>cases</w:t>
      </w:r>
      <w:r w:rsidR="00F73BD3">
        <w:t>, the instructor could maintain greater content alignment. The treatment design may have also affected the significance of the flipped classroom.</w:t>
      </w:r>
      <w:r w:rsidR="00C87ABF">
        <w:t xml:space="preserve"> </w:t>
      </w:r>
      <w:r w:rsidR="00F73BD3">
        <w:t xml:space="preserve">Certainly this study represents only an initial investigation of the flipped classroom model in teacher education and further research </w:t>
      </w:r>
      <w:r w:rsidR="00DF492E">
        <w:t xml:space="preserve">is needed </w:t>
      </w:r>
      <w:r w:rsidR="00F73BD3">
        <w:t>before drawing definitive conclusions.</w:t>
      </w:r>
    </w:p>
    <w:p w14:paraId="42479159" w14:textId="64F23EF1" w:rsidR="006219F7" w:rsidRPr="00221E31" w:rsidRDefault="00743B58" w:rsidP="007228A3">
      <w:pPr>
        <w:spacing w:line="480" w:lineRule="auto"/>
      </w:pPr>
      <w:r>
        <w:rPr>
          <w:b/>
        </w:rPr>
        <w:tab/>
      </w:r>
      <w:r w:rsidR="005A7339" w:rsidRPr="005A7339">
        <w:t>Our</w:t>
      </w:r>
      <w:r w:rsidR="005A7339">
        <w:t xml:space="preserve"> third research question focused on student attitudes towards inclusion an</w:t>
      </w:r>
      <w:r w:rsidR="0048269C">
        <w:t>d collaboration. It is our belie</w:t>
      </w:r>
      <w:r w:rsidR="005A7339">
        <w:t xml:space="preserve">f </w:t>
      </w:r>
      <w:r w:rsidR="00C5356C">
        <w:t xml:space="preserve">that </w:t>
      </w:r>
      <w:r w:rsidR="005A7339">
        <w:t xml:space="preserve">inclusive educators will need these dispositions in order to be effective. </w:t>
      </w:r>
      <w:r w:rsidR="002C7144">
        <w:t xml:space="preserve">Based on the results, attitudes at the </w:t>
      </w:r>
      <w:r w:rsidR="00D238CC">
        <w:t>seven-week</w:t>
      </w:r>
      <w:r w:rsidR="002C7144">
        <w:t xml:space="preserve"> data point in both flipped and typical instructional models significantly predicted pro-inclusion and pro-collaboration attitudes at the end of the course. It is clear that the instructional models did not have a significant impact so we reflected on other factors that may be creating this effect. </w:t>
      </w:r>
      <w:r w:rsidR="00D238CC">
        <w:t xml:space="preserve">We noted that while the two classes engaged in different instructional models, they received the same content. When we further investigated the content, we recognized that the first unit focused on frameworks for inclusion (i.e. </w:t>
      </w:r>
      <w:r w:rsidR="00F826D3">
        <w:t>UDL</w:t>
      </w:r>
      <w:r w:rsidR="00D238CC">
        <w:t xml:space="preserve">, family collaboration, </w:t>
      </w:r>
      <w:r w:rsidR="00F826D3">
        <w:t xml:space="preserve">PBIS) and the second and third units focused on the disability categories identified in IDEA. </w:t>
      </w:r>
      <w:r w:rsidR="00700179">
        <w:t>Therefore, the frameworks for inclusion appear to have a greater effect on attitudes than the instructional model. Future research should not only look at instructional models but also</w:t>
      </w:r>
      <w:r w:rsidR="00FF6343">
        <w:t xml:space="preserve"> the organization of</w:t>
      </w:r>
      <w:r w:rsidR="00700179">
        <w:t xml:space="preserve"> content</w:t>
      </w:r>
      <w:r w:rsidR="00FF6343">
        <w:t xml:space="preserve"> around a unifying framework for </w:t>
      </w:r>
      <w:r w:rsidR="00FF6343">
        <w:lastRenderedPageBreak/>
        <w:t>teaching</w:t>
      </w:r>
      <w:r w:rsidR="00700179">
        <w:t xml:space="preserve"> and its impact on pre-service teacher attitudes. Moreover, future research should investigate the usefulness of a categorical approach as opposed to frameworks for inclusion in inclusive teacher education. </w:t>
      </w:r>
    </w:p>
    <w:p w14:paraId="5A582A94" w14:textId="77777777" w:rsidR="007228A3" w:rsidRDefault="007228A3" w:rsidP="007228A3">
      <w:pPr>
        <w:spacing w:line="480" w:lineRule="auto"/>
        <w:rPr>
          <w:b/>
        </w:rPr>
      </w:pPr>
      <w:r>
        <w:rPr>
          <w:b/>
        </w:rPr>
        <w:t>Limitations</w:t>
      </w:r>
    </w:p>
    <w:p w14:paraId="1800704E" w14:textId="36B30A36" w:rsidR="00E9009C" w:rsidRPr="00E9009C" w:rsidRDefault="00667511" w:rsidP="0029372D">
      <w:pPr>
        <w:spacing w:line="480" w:lineRule="auto"/>
        <w:ind w:firstLine="720"/>
      </w:pPr>
      <w:r>
        <w:t>In studying a single course for pre-service teachers</w:t>
      </w:r>
      <w:r w:rsidR="00325E84">
        <w:t>,</w:t>
      </w:r>
      <w:r>
        <w:t xml:space="preserve"> several limitations presented themselves.  Firstly, the two sections consisted of a small sample size and homogeneous makeup.  Additionally, the paper-based format of the assessments may not have captured the full capacity of the pre-service teachers to apply the </w:t>
      </w:r>
      <w:r w:rsidR="002F4CA6">
        <w:t>core competencies</w:t>
      </w:r>
      <w:r>
        <w:t xml:space="preserve"> taught in the course. An assessment with an observation component would allow students to demonstrate their knowledge in a more realistic setting.</w:t>
      </w:r>
      <w:r w:rsidR="008714AC">
        <w:t xml:space="preserve"> </w:t>
      </w:r>
      <w:r w:rsidR="000B4967">
        <w:t xml:space="preserve">Throughout the course, </w:t>
      </w:r>
      <w:r w:rsidR="00636CE8">
        <w:t>the focus on inclusive education challenged pre-service teachers’</w:t>
      </w:r>
      <w:r w:rsidR="000B4967">
        <w:t xml:space="preserve"> assumptions about </w:t>
      </w:r>
      <w:r w:rsidR="0029372D">
        <w:t>education and ability. Therefore</w:t>
      </w:r>
      <w:r w:rsidR="000B4967">
        <w:t xml:space="preserve">, </w:t>
      </w:r>
      <w:r w:rsidR="00636CE8">
        <w:t xml:space="preserve">the study would have benefited from </w:t>
      </w:r>
      <w:r w:rsidR="000B4967">
        <w:t xml:space="preserve">a qualitative component to </w:t>
      </w:r>
      <w:r w:rsidR="00C5356C">
        <w:t xml:space="preserve">more deeply </w:t>
      </w:r>
      <w:r w:rsidR="000B4967">
        <w:t>understand how this impacted their attitudes towards inclusion and collaboration.</w:t>
      </w:r>
    </w:p>
    <w:p w14:paraId="1C4A5BCC" w14:textId="7FFCC57C" w:rsidR="008972A9" w:rsidRDefault="008972A9" w:rsidP="007228A3">
      <w:pPr>
        <w:spacing w:line="480" w:lineRule="auto"/>
        <w:jc w:val="center"/>
        <w:rPr>
          <w:b/>
        </w:rPr>
      </w:pPr>
      <w:r>
        <w:rPr>
          <w:b/>
        </w:rPr>
        <w:t xml:space="preserve">Implications for </w:t>
      </w:r>
      <w:r w:rsidR="00700179">
        <w:rPr>
          <w:b/>
        </w:rPr>
        <w:t>Practice-Based Teacher Preparation</w:t>
      </w:r>
      <w:r w:rsidR="00CF2CB9">
        <w:rPr>
          <w:b/>
        </w:rPr>
        <w:t xml:space="preserve"> in Special Education</w:t>
      </w:r>
    </w:p>
    <w:p w14:paraId="207265D6" w14:textId="3A42ACAF" w:rsidR="00700179" w:rsidRPr="00E26CC7" w:rsidRDefault="00E26CC7" w:rsidP="005B7666">
      <w:pPr>
        <w:spacing w:line="480" w:lineRule="auto"/>
        <w:ind w:firstLine="720"/>
      </w:pPr>
      <w:r>
        <w:t xml:space="preserve">Researchers </w:t>
      </w:r>
      <w:r w:rsidR="009342D4">
        <w:t>promote a variety of models for PBTP</w:t>
      </w:r>
      <w:r>
        <w:t xml:space="preserve"> </w:t>
      </w:r>
      <w:r w:rsidR="00F62D9A">
        <w:t xml:space="preserve">to </w:t>
      </w:r>
      <w:r w:rsidR="000E3C0E">
        <w:t xml:space="preserve">equip teachers with </w:t>
      </w:r>
      <w:r>
        <w:t>toolbox of practices to address a wide range of student needs</w:t>
      </w:r>
      <w:r w:rsidR="009342D4">
        <w:t xml:space="preserve"> (</w:t>
      </w:r>
      <w:r w:rsidR="009342D4" w:rsidRPr="00EF0BA5">
        <w:t>Ball &amp; Forzani, 2009; Grossman,</w:t>
      </w:r>
      <w:r w:rsidR="003C6933">
        <w:t xml:space="preserve"> et al., </w:t>
      </w:r>
      <w:r w:rsidR="00035E26">
        <w:t>2009</w:t>
      </w:r>
      <w:r w:rsidR="009342D4" w:rsidRPr="00EF0BA5">
        <w:t>; Lampert</w:t>
      </w:r>
      <w:r w:rsidR="00A50EA2">
        <w:t xml:space="preserve"> et al.</w:t>
      </w:r>
      <w:r w:rsidR="009342D4" w:rsidRPr="00EF0BA5">
        <w:t>, 2013; McDonald, Kazemi, &amp; Kavanagh, 2013; Pella; 2015; Reid, 2011</w:t>
      </w:r>
      <w:r w:rsidR="009342D4">
        <w:t>)</w:t>
      </w:r>
      <w:r>
        <w:t xml:space="preserve">. </w:t>
      </w:r>
      <w:r w:rsidR="00F74BF8">
        <w:t>Certainly, the flexibility to make these pedagogical moves will prove vital in a field as complex as t</w:t>
      </w:r>
      <w:r w:rsidR="00865C82">
        <w:t xml:space="preserve">eaching. However, Zeichner </w:t>
      </w:r>
      <w:r w:rsidR="00090AC7">
        <w:t>(2012</w:t>
      </w:r>
      <w:r w:rsidR="00F74BF8">
        <w:t xml:space="preserve">) cautions that </w:t>
      </w:r>
      <w:r w:rsidR="005B7666">
        <w:t xml:space="preserve">PBTP </w:t>
      </w:r>
      <w:r w:rsidR="00F74BF8">
        <w:t xml:space="preserve">runs the risk of taking a narrow technical focus without a sophisticated grounding in the historical, cultural, and social contexts in which </w:t>
      </w:r>
      <w:r w:rsidR="000E3C0E">
        <w:t>teachers</w:t>
      </w:r>
      <w:r w:rsidR="00F74BF8">
        <w:t xml:space="preserve"> work. </w:t>
      </w:r>
      <w:r w:rsidR="00BA7BE5">
        <w:t xml:space="preserve">In our study, students demonstrated an increased appreciation for inclusion and collaboration when the content was organized around frameworks for inclusion. </w:t>
      </w:r>
      <w:r w:rsidR="009342D4">
        <w:t xml:space="preserve">This finding relates to a larger discourse in the literature around PBTP. </w:t>
      </w:r>
      <w:r w:rsidR="004720D3">
        <w:t xml:space="preserve">McDonald and </w:t>
      </w:r>
      <w:r w:rsidR="004720D3">
        <w:lastRenderedPageBreak/>
        <w:t xml:space="preserve">colleagues (2014) argue that teacher preparation redesign for the purposes of PBTP, must </w:t>
      </w:r>
      <w:r w:rsidR="00A5593B">
        <w:t>situate</w:t>
      </w:r>
      <w:r w:rsidR="004720D3">
        <w:t xml:space="preserve"> practice around a specific vision of teaching. This overarching vision should permeate the entire program. However, the authors lament the fact that, while programs might pay lip service to a unifying programmatic orientation or philosophy, it </w:t>
      </w:r>
      <w:r w:rsidR="00A26190">
        <w:t xml:space="preserve">typically </w:t>
      </w:r>
      <w:r w:rsidR="004720D3">
        <w:t>does not reflect a fundamental change to existing practices in teacher preparation.</w:t>
      </w:r>
      <w:r w:rsidR="009342D4">
        <w:t xml:space="preserve"> </w:t>
      </w:r>
      <w:r w:rsidR="00FC18A9">
        <w:t xml:space="preserve">One promising example of integration of practice around a program-wide teaching philosophy is the holistic practice-based teacher preparation model proposed by Hollins (2011). In this example, Hollins orients the preparation of teachers around what she calls a philosophical stance in order to provide a vision and purpose for education. This helps pre-service teachers develop a deeper metacognitive understanding of their teaching practices. Moreover, she suggests that certain philosophical perspectives such as multicultural education, critical theory, or feminist pedagogy have the potential </w:t>
      </w:r>
      <w:r w:rsidR="005B7666">
        <w:t>help</w:t>
      </w:r>
      <w:r w:rsidR="00FC18A9">
        <w:t xml:space="preserve"> pre-service teachers</w:t>
      </w:r>
      <w:r w:rsidR="005C660D">
        <w:t xml:space="preserve"> to situate their practices within a larger systemic framework that critically examines the contextual affordances and constraints of schooling. With these critical understandings, teachers can better</w:t>
      </w:r>
      <w:r w:rsidR="00FC18A9">
        <w:t xml:space="preserve"> use their practices in ways that promote</w:t>
      </w:r>
      <w:r w:rsidR="00A17E9D">
        <w:t>s</w:t>
      </w:r>
      <w:r w:rsidR="00FC18A9">
        <w:t xml:space="preserve"> equity and social justice. </w:t>
      </w:r>
      <w:r w:rsidR="00555CFB">
        <w:t>Based on our findings</w:t>
      </w:r>
      <w:r w:rsidR="000E3C0E">
        <w:t xml:space="preserve">, we advocate for increased research around </w:t>
      </w:r>
      <w:r w:rsidR="00555CFB">
        <w:t>PBTP</w:t>
      </w:r>
      <w:r w:rsidR="00B276F6">
        <w:t xml:space="preserve"> </w:t>
      </w:r>
      <w:r w:rsidR="004451EB">
        <w:t>within</w:t>
      </w:r>
      <w:r w:rsidR="00B276F6">
        <w:t xml:space="preserve"> special education </w:t>
      </w:r>
      <w:r w:rsidR="000E3C0E">
        <w:t xml:space="preserve">that integrates </w:t>
      </w:r>
      <w:r w:rsidR="00BA7BE5">
        <w:t xml:space="preserve">the technical practices of teaching within </w:t>
      </w:r>
      <w:r w:rsidR="000E3C0E">
        <w:t>approaches that promote inclusive attitudes</w:t>
      </w:r>
      <w:r w:rsidR="005C660D">
        <w:t xml:space="preserve"> through critical reflections</w:t>
      </w:r>
      <w:r w:rsidR="00501FF4">
        <w:t xml:space="preserve"> about</w:t>
      </w:r>
      <w:r w:rsidR="005C660D">
        <w:t xml:space="preserve"> ability and difference </w:t>
      </w:r>
      <w:r w:rsidR="005B7666">
        <w:t>within education</w:t>
      </w:r>
      <w:r w:rsidR="00974939">
        <w:t xml:space="preserve">. </w:t>
      </w:r>
    </w:p>
    <w:p w14:paraId="0399544B" w14:textId="77777777" w:rsidR="00CC1E71" w:rsidRDefault="00CC1E71">
      <w:r>
        <w:br w:type="page"/>
      </w:r>
    </w:p>
    <w:p w14:paraId="49D4C011" w14:textId="7A254A1E" w:rsidR="005255DE" w:rsidRDefault="005255DE" w:rsidP="00F01CBA">
      <w:pPr>
        <w:spacing w:line="480" w:lineRule="auto"/>
        <w:jc w:val="center"/>
      </w:pPr>
      <w:r w:rsidRPr="0020282B">
        <w:lastRenderedPageBreak/>
        <w:t>References</w:t>
      </w:r>
    </w:p>
    <w:p w14:paraId="012A096D" w14:textId="574707C6" w:rsidR="005255DE" w:rsidRPr="00056DF4" w:rsidRDefault="005255DE" w:rsidP="005255DE">
      <w:pPr>
        <w:spacing w:line="480" w:lineRule="auto"/>
        <w:ind w:left="720" w:hanging="720"/>
      </w:pPr>
      <w:r w:rsidRPr="00056DF4">
        <w:t>Abeysekera, L.</w:t>
      </w:r>
      <w:r w:rsidR="004C5704">
        <w:t>,</w:t>
      </w:r>
      <w:r w:rsidRPr="00056DF4">
        <w:t xml:space="preserve"> &amp; Dawson, P. (2015). Motivation and cognitive l</w:t>
      </w:r>
      <w:r w:rsidR="009578BF">
        <w:t>o</w:t>
      </w:r>
      <w:r w:rsidRPr="00056DF4">
        <w:t xml:space="preserve">ad in the flipped classroom: definition, rationale and a call for research. </w:t>
      </w:r>
      <w:r w:rsidRPr="00056DF4">
        <w:rPr>
          <w:i/>
          <w:iCs/>
        </w:rPr>
        <w:t>Higher Education Research and Development, 34</w:t>
      </w:r>
      <w:r w:rsidRPr="00056DF4">
        <w:t>(1), 1-14.</w:t>
      </w:r>
    </w:p>
    <w:p w14:paraId="44B83BCB" w14:textId="204872F1" w:rsidR="005255DE" w:rsidRPr="00056DF4" w:rsidRDefault="005255DE" w:rsidP="005255DE">
      <w:pPr>
        <w:spacing w:line="480" w:lineRule="auto"/>
        <w:ind w:left="720" w:hanging="720"/>
      </w:pPr>
      <w:proofErr w:type="gramStart"/>
      <w:r w:rsidRPr="00056DF4">
        <w:t>Aguirre-Munoz, Z.</w:t>
      </w:r>
      <w:r w:rsidR="004C5704">
        <w:t>,</w:t>
      </w:r>
      <w:r w:rsidRPr="00056DF4">
        <w:t xml:space="preserve"> &amp; Amabisca, A. A. (2010).</w:t>
      </w:r>
      <w:proofErr w:type="gramEnd"/>
      <w:r w:rsidRPr="00056DF4">
        <w:t xml:space="preserve"> Defining opportunities to learn for English Language Learners: Linguistic and cultural dimensions of ELLs instructional contexts. </w:t>
      </w:r>
      <w:r w:rsidRPr="00056DF4">
        <w:rPr>
          <w:i/>
          <w:iCs/>
        </w:rPr>
        <w:t>Journal of Education for Students Placed at Risk, 15</w:t>
      </w:r>
      <w:r w:rsidRPr="00056DF4">
        <w:t xml:space="preserve">(3), 259-278. </w:t>
      </w:r>
    </w:p>
    <w:p w14:paraId="53F646C6" w14:textId="166E52C8" w:rsidR="00A50EA2" w:rsidRDefault="00A50EA2" w:rsidP="000A22F7">
      <w:pPr>
        <w:spacing w:line="480" w:lineRule="auto"/>
        <w:ind w:left="720" w:hanging="720"/>
      </w:pPr>
      <w:r w:rsidRPr="00056DF4">
        <w:t xml:space="preserve">Albert, M., &amp; Beatty, B. J. (2014). Flipping the classroom applications to curriculum redesign for an introduction to management course: Impact on grades. </w:t>
      </w:r>
      <w:proofErr w:type="gramStart"/>
      <w:r w:rsidRPr="00056DF4">
        <w:rPr>
          <w:i/>
        </w:rPr>
        <w:t>Journal of Education for Business, 89</w:t>
      </w:r>
      <w:r w:rsidRPr="00056DF4">
        <w:t>(8), 419-424.</w:t>
      </w:r>
      <w:proofErr w:type="gramEnd"/>
    </w:p>
    <w:p w14:paraId="03BBB6BF" w14:textId="216A8438" w:rsidR="00A50EA2" w:rsidRDefault="00A50EA2" w:rsidP="000A22F7">
      <w:pPr>
        <w:spacing w:line="480" w:lineRule="auto"/>
        <w:ind w:left="720" w:hanging="720"/>
      </w:pPr>
      <w:r w:rsidRPr="004A3A83">
        <w:t>Artiles, A. J., &amp; Kozleski, E. B. (2007). Beyond convictions: Interrogating culture, history, and power in inclusive education.</w:t>
      </w:r>
      <w:r>
        <w:t xml:space="preserve"> </w:t>
      </w:r>
      <w:proofErr w:type="gramStart"/>
      <w:r w:rsidRPr="000C3976">
        <w:rPr>
          <w:i/>
        </w:rPr>
        <w:t>Language Arts, 84</w:t>
      </w:r>
      <w:r>
        <w:t>, 351-358.</w:t>
      </w:r>
      <w:proofErr w:type="gramEnd"/>
    </w:p>
    <w:p w14:paraId="5E21F82F" w14:textId="700A87DB" w:rsidR="004113BD" w:rsidRDefault="004113BD" w:rsidP="005255DE">
      <w:pPr>
        <w:widowControl w:val="0"/>
        <w:autoSpaceDE w:val="0"/>
        <w:autoSpaceDN w:val="0"/>
        <w:adjustRightInd w:val="0"/>
        <w:spacing w:line="480" w:lineRule="auto"/>
        <w:ind w:left="720" w:hanging="720"/>
      </w:pPr>
      <w:r>
        <w:t>Ball, D. L., &amp; Forzani, F. M. (2011).</w:t>
      </w:r>
      <w:r w:rsidR="00E1727C">
        <w:t xml:space="preserve"> Building a common core for learning to teach: And connecting professional learning to practice. </w:t>
      </w:r>
      <w:proofErr w:type="gramStart"/>
      <w:r w:rsidR="00E1727C" w:rsidRPr="00E1727C">
        <w:rPr>
          <w:i/>
        </w:rPr>
        <w:t>American Educator, 35</w:t>
      </w:r>
      <w:r w:rsidR="00E1727C">
        <w:t>(2), 17-21</w:t>
      </w:r>
      <w:r w:rsidR="00DA2074">
        <w:t>, 38-39</w:t>
      </w:r>
      <w:r w:rsidR="00E1727C">
        <w:t>.</w:t>
      </w:r>
      <w:proofErr w:type="gramEnd"/>
    </w:p>
    <w:p w14:paraId="6ADAB720" w14:textId="77777777" w:rsidR="005255DE" w:rsidRDefault="005255DE" w:rsidP="005255DE">
      <w:pPr>
        <w:widowControl w:val="0"/>
        <w:autoSpaceDE w:val="0"/>
        <w:autoSpaceDN w:val="0"/>
        <w:adjustRightInd w:val="0"/>
        <w:spacing w:line="480" w:lineRule="auto"/>
        <w:ind w:left="720" w:hanging="720"/>
      </w:pPr>
      <w:r w:rsidRPr="00D96454">
        <w:t xml:space="preserve">Ball, D. L., &amp; Forzani, F. M. (2009). The work of teaching and the challenge for teacher education. </w:t>
      </w:r>
      <w:r w:rsidRPr="00D96454">
        <w:rPr>
          <w:i/>
          <w:iCs/>
        </w:rPr>
        <w:t>Journal of Teacher Education, 60</w:t>
      </w:r>
      <w:r w:rsidRPr="00D96454">
        <w:t>(5), 497-511.</w:t>
      </w:r>
    </w:p>
    <w:p w14:paraId="63B0324C" w14:textId="5898EEBD" w:rsidR="005255DE" w:rsidRDefault="005255DE" w:rsidP="005255DE">
      <w:pPr>
        <w:widowControl w:val="0"/>
        <w:autoSpaceDE w:val="0"/>
        <w:autoSpaceDN w:val="0"/>
        <w:adjustRightInd w:val="0"/>
        <w:spacing w:line="480" w:lineRule="auto"/>
        <w:ind w:left="720" w:hanging="720"/>
      </w:pPr>
      <w:r>
        <w:rPr>
          <w:rFonts w:eastAsia="Times New Roman"/>
        </w:rPr>
        <w:t xml:space="preserve">Bloom, B., </w:t>
      </w:r>
      <w:r>
        <w:rPr>
          <w:rStyle w:val="spelle"/>
          <w:rFonts w:eastAsia="Times New Roman"/>
        </w:rPr>
        <w:t>Englehart</w:t>
      </w:r>
      <w:r>
        <w:rPr>
          <w:rFonts w:eastAsia="Times New Roman"/>
        </w:rPr>
        <w:t>, M.</w:t>
      </w:r>
      <w:r w:rsidR="009578BF">
        <w:rPr>
          <w:rFonts w:eastAsia="Times New Roman"/>
        </w:rPr>
        <w:t>,</w:t>
      </w:r>
      <w:r>
        <w:rPr>
          <w:rFonts w:eastAsia="Times New Roman"/>
        </w:rPr>
        <w:t xml:space="preserve"> </w:t>
      </w:r>
      <w:r>
        <w:rPr>
          <w:rStyle w:val="spelle"/>
          <w:rFonts w:eastAsia="Times New Roman"/>
        </w:rPr>
        <w:t>Furst</w:t>
      </w:r>
      <w:r>
        <w:rPr>
          <w:rFonts w:eastAsia="Times New Roman"/>
        </w:rPr>
        <w:t xml:space="preserve">, E., Hill, W., &amp; </w:t>
      </w:r>
      <w:r>
        <w:rPr>
          <w:rStyle w:val="spelle"/>
          <w:rFonts w:eastAsia="Times New Roman"/>
        </w:rPr>
        <w:t>Krathwohl</w:t>
      </w:r>
      <w:r>
        <w:rPr>
          <w:rFonts w:eastAsia="Times New Roman"/>
        </w:rPr>
        <w:t xml:space="preserve">, D. (1956). </w:t>
      </w:r>
      <w:r>
        <w:rPr>
          <w:rFonts w:eastAsia="Times New Roman"/>
          <w:i/>
          <w:iCs/>
        </w:rPr>
        <w:t>Taxonomy of educational objectives: The classification of educational goals. Handbook I: Cognitive domain</w:t>
      </w:r>
      <w:r>
        <w:rPr>
          <w:rFonts w:eastAsia="Times New Roman"/>
        </w:rPr>
        <w:t>. New York, Toronto: Longmans, Green.</w:t>
      </w:r>
    </w:p>
    <w:p w14:paraId="79866832" w14:textId="77777777" w:rsidR="005255DE" w:rsidRPr="00056DF4" w:rsidRDefault="005255DE" w:rsidP="005255DE">
      <w:pPr>
        <w:widowControl w:val="0"/>
        <w:autoSpaceDE w:val="0"/>
        <w:autoSpaceDN w:val="0"/>
        <w:adjustRightInd w:val="0"/>
        <w:spacing w:line="480" w:lineRule="auto"/>
        <w:ind w:left="720" w:hanging="720"/>
      </w:pPr>
      <w:r w:rsidRPr="00056DF4">
        <w:t>Bransford, J. D. (2009). Integrating technology and instruction for collaborative learning</w:t>
      </w:r>
    </w:p>
    <w:p w14:paraId="34583728" w14:textId="77777777" w:rsidR="005255DE" w:rsidRPr="00056DF4" w:rsidRDefault="005255DE" w:rsidP="005255DE">
      <w:pPr>
        <w:widowControl w:val="0"/>
        <w:autoSpaceDE w:val="0"/>
        <w:autoSpaceDN w:val="0"/>
        <w:adjustRightInd w:val="0"/>
        <w:spacing w:line="480" w:lineRule="auto"/>
        <w:ind w:left="720"/>
      </w:pPr>
      <w:r w:rsidRPr="00056DF4">
        <w:t>and assessment.  Paper presented at the meeting of the California Council on Teacher Education, San Diego, CA.</w:t>
      </w:r>
    </w:p>
    <w:p w14:paraId="3028CE97" w14:textId="77777777" w:rsidR="00B509D7" w:rsidRDefault="00B509D7" w:rsidP="005255DE">
      <w:pPr>
        <w:widowControl w:val="0"/>
        <w:autoSpaceDE w:val="0"/>
        <w:autoSpaceDN w:val="0"/>
        <w:adjustRightInd w:val="0"/>
        <w:spacing w:line="480" w:lineRule="auto"/>
        <w:ind w:left="720" w:hanging="720"/>
      </w:pPr>
    </w:p>
    <w:p w14:paraId="3748D013" w14:textId="743CF4AB" w:rsidR="005255DE" w:rsidRPr="00056DF4" w:rsidRDefault="005255DE" w:rsidP="005255DE">
      <w:pPr>
        <w:widowControl w:val="0"/>
        <w:autoSpaceDE w:val="0"/>
        <w:autoSpaceDN w:val="0"/>
        <w:adjustRightInd w:val="0"/>
        <w:spacing w:line="480" w:lineRule="auto"/>
        <w:ind w:left="720" w:hanging="720"/>
      </w:pPr>
      <w:r w:rsidRPr="00056DF4">
        <w:lastRenderedPageBreak/>
        <w:t xml:space="preserve">Bransford, J., Brown, A. L., &amp; Cocking, R. R. (2008). Mind and brain. In M. H. Immordino-Yang (Ed.), </w:t>
      </w:r>
      <w:r w:rsidRPr="00056DF4">
        <w:rPr>
          <w:i/>
        </w:rPr>
        <w:t>The Jossey-Bass reader on the brain and learning</w:t>
      </w:r>
      <w:r w:rsidRPr="00056DF4">
        <w:t xml:space="preserve"> (pp. 98–108). San Francisco: Wiley.</w:t>
      </w:r>
    </w:p>
    <w:p w14:paraId="7F633ADF" w14:textId="6183351C" w:rsidR="005255DE" w:rsidRPr="00872CED" w:rsidRDefault="005255DE" w:rsidP="005255DE">
      <w:pPr>
        <w:widowControl w:val="0"/>
        <w:autoSpaceDE w:val="0"/>
        <w:autoSpaceDN w:val="0"/>
        <w:adjustRightInd w:val="0"/>
        <w:spacing w:line="480" w:lineRule="auto"/>
        <w:ind w:left="720" w:hanging="720"/>
      </w:pPr>
      <w:r w:rsidRPr="00872CED">
        <w:t>Broderkick, A. A., Hawkins, G., Henze, S., Mirasol-Spath, C., Pollack-Berkovits, R., Clune, H.P., Skovera, E. &amp; Steel, C. (2012). Teacher counternarr</w:t>
      </w:r>
      <w:r>
        <w:t xml:space="preserve">atives: </w:t>
      </w:r>
      <w:r w:rsidR="009578BF">
        <w:t>T</w:t>
      </w:r>
      <w:r>
        <w:t>ransgressing and 'resto</w:t>
      </w:r>
      <w:r w:rsidRPr="00872CED">
        <w:t xml:space="preserve">rying' disability in education. </w:t>
      </w:r>
      <w:r w:rsidRPr="00872CED">
        <w:rPr>
          <w:i/>
          <w:iCs/>
        </w:rPr>
        <w:t>International Journal of Inclusive Education, 16</w:t>
      </w:r>
      <w:r w:rsidRPr="00872CED">
        <w:t>(8), 825-842.</w:t>
      </w:r>
    </w:p>
    <w:p w14:paraId="1CD67247" w14:textId="77777777" w:rsidR="005255DE" w:rsidRPr="00056DF4" w:rsidRDefault="005255DE" w:rsidP="005255DE">
      <w:pPr>
        <w:widowControl w:val="0"/>
        <w:autoSpaceDE w:val="0"/>
        <w:autoSpaceDN w:val="0"/>
        <w:adjustRightInd w:val="0"/>
        <w:spacing w:line="480" w:lineRule="auto"/>
        <w:ind w:left="720" w:hanging="720"/>
      </w:pPr>
      <w:r w:rsidRPr="00056DF4">
        <w:t xml:space="preserve">Chen, Y., Yuping, W., Kinshuk, &amp; Chen, N. S. (2014). Is FLIP enough? Or should we use the FLIPPED model instead? </w:t>
      </w:r>
      <w:r w:rsidRPr="00056DF4">
        <w:rPr>
          <w:i/>
        </w:rPr>
        <w:t xml:space="preserve">Computers &amp; Education, 79, </w:t>
      </w:r>
      <w:r w:rsidRPr="00056DF4">
        <w:t>16-27.</w:t>
      </w:r>
    </w:p>
    <w:p w14:paraId="69EACB9B" w14:textId="013FFD7E" w:rsidR="005255DE" w:rsidRDefault="005255DE" w:rsidP="005255DE">
      <w:pPr>
        <w:widowControl w:val="0"/>
        <w:autoSpaceDE w:val="0"/>
        <w:autoSpaceDN w:val="0"/>
        <w:adjustRightInd w:val="0"/>
        <w:spacing w:line="480" w:lineRule="auto"/>
        <w:ind w:left="720" w:hanging="720"/>
      </w:pPr>
      <w:r>
        <w:t xml:space="preserve">Cullen, J. P., Gregory, J. L., </w:t>
      </w:r>
      <w:r w:rsidR="009578BF">
        <w:t xml:space="preserve">&amp; </w:t>
      </w:r>
      <w:r>
        <w:t xml:space="preserve">Noto, L. A. (2010). </w:t>
      </w:r>
      <w:r w:rsidRPr="002767F1">
        <w:rPr>
          <w:i/>
        </w:rPr>
        <w:t>Teacher attitudes towards inclusion scale (TATIS)</w:t>
      </w:r>
      <w:r>
        <w:rPr>
          <w:i/>
        </w:rPr>
        <w:t xml:space="preserve"> Technical Report</w:t>
      </w:r>
      <w:r>
        <w:t xml:space="preserve">. Carrollton, GA: Eastern Educational Research Association. </w:t>
      </w:r>
    </w:p>
    <w:p w14:paraId="37E944CD" w14:textId="76C3A966" w:rsidR="00CF658C" w:rsidRDefault="00CF658C" w:rsidP="00CE1744">
      <w:pPr>
        <w:spacing w:line="480" w:lineRule="auto"/>
        <w:ind w:left="720" w:hanging="720"/>
        <w:rPr>
          <w:noProof/>
        </w:rPr>
      </w:pPr>
      <w:bookmarkStart w:id="1" w:name="_ENREF_4"/>
      <w:r w:rsidRPr="00FE570B">
        <w:rPr>
          <w:noProof/>
        </w:rPr>
        <w:t>Darling-Hammond, L.</w:t>
      </w:r>
      <w:r w:rsidR="009578BF">
        <w:rPr>
          <w:noProof/>
        </w:rPr>
        <w:t>,</w:t>
      </w:r>
      <w:r>
        <w:rPr>
          <w:noProof/>
        </w:rPr>
        <w:t xml:space="preserve"> &amp; </w:t>
      </w:r>
      <w:r w:rsidRPr="00FE570B">
        <w:rPr>
          <w:noProof/>
        </w:rPr>
        <w:t xml:space="preserve">Wei, </w:t>
      </w:r>
      <w:r>
        <w:rPr>
          <w:noProof/>
        </w:rPr>
        <w:t xml:space="preserve">C. </w:t>
      </w:r>
      <w:r w:rsidRPr="00FE570B">
        <w:rPr>
          <w:noProof/>
        </w:rPr>
        <w:t xml:space="preserve">R. (2009). Teacher preparation and teacher learning. In G. Sykes, Schneider, B. &amp; Plank, D. N. with Ford, T. G. (Ed.), </w:t>
      </w:r>
      <w:r w:rsidRPr="00FE570B">
        <w:rPr>
          <w:i/>
          <w:noProof/>
        </w:rPr>
        <w:t>Handbook of Education Policy Research</w:t>
      </w:r>
      <w:r w:rsidR="009578BF">
        <w:rPr>
          <w:noProof/>
        </w:rPr>
        <w:t xml:space="preserve"> (</w:t>
      </w:r>
      <w:r w:rsidR="00DE3C58">
        <w:rPr>
          <w:noProof/>
        </w:rPr>
        <w:t>613-636</w:t>
      </w:r>
      <w:r w:rsidR="009578BF">
        <w:rPr>
          <w:noProof/>
        </w:rPr>
        <w:t>)</w:t>
      </w:r>
      <w:r w:rsidRPr="00FE570B">
        <w:rPr>
          <w:noProof/>
        </w:rPr>
        <w:t>. New York: Routledge.</w:t>
      </w:r>
      <w:bookmarkEnd w:id="1"/>
    </w:p>
    <w:p w14:paraId="6F91F3E4" w14:textId="77777777" w:rsidR="005255DE" w:rsidRPr="007542CE" w:rsidRDefault="005255DE" w:rsidP="005255DE">
      <w:pPr>
        <w:widowControl w:val="0"/>
        <w:autoSpaceDE w:val="0"/>
        <w:autoSpaceDN w:val="0"/>
        <w:adjustRightInd w:val="0"/>
        <w:spacing w:line="480" w:lineRule="auto"/>
        <w:ind w:left="720" w:hanging="720"/>
      </w:pPr>
      <w:r w:rsidRPr="007542CE">
        <w:t xml:space="preserve">Darling-Hammond, L. (2006). Constructing 21st-century teacher education. </w:t>
      </w:r>
      <w:r w:rsidRPr="007542CE">
        <w:rPr>
          <w:i/>
          <w:iCs/>
        </w:rPr>
        <w:t>Journal of Teacher Education, 57</w:t>
      </w:r>
      <w:r w:rsidRPr="007542CE">
        <w:t>(3), 300-314.</w:t>
      </w:r>
    </w:p>
    <w:p w14:paraId="4D4651F6" w14:textId="77777777" w:rsidR="005255DE" w:rsidRPr="00056DF4" w:rsidRDefault="005255DE" w:rsidP="005255DE">
      <w:pPr>
        <w:widowControl w:val="0"/>
        <w:autoSpaceDE w:val="0"/>
        <w:autoSpaceDN w:val="0"/>
        <w:adjustRightInd w:val="0"/>
        <w:spacing w:line="480" w:lineRule="auto"/>
        <w:ind w:left="720" w:hanging="720"/>
      </w:pPr>
      <w:r w:rsidRPr="00056DF4">
        <w:t xml:space="preserve">Elliott, S. N., Roach, A.T., &amp; Kurz, A. (2014). Evaluating and advancing the effective teaching of special educators with a dynamic instructional practices portfolio. </w:t>
      </w:r>
      <w:r w:rsidRPr="00056DF4">
        <w:rPr>
          <w:i/>
          <w:iCs/>
        </w:rPr>
        <w:t>Assessment for Effective Instruction, 39</w:t>
      </w:r>
      <w:r w:rsidRPr="00056DF4">
        <w:t>(2), 83-98.</w:t>
      </w:r>
    </w:p>
    <w:p w14:paraId="1DC32602" w14:textId="77777777" w:rsidR="005255DE" w:rsidRPr="00605E8D" w:rsidRDefault="005255DE" w:rsidP="005255DE">
      <w:pPr>
        <w:widowControl w:val="0"/>
        <w:autoSpaceDE w:val="0"/>
        <w:autoSpaceDN w:val="0"/>
        <w:adjustRightInd w:val="0"/>
        <w:spacing w:line="480" w:lineRule="auto"/>
        <w:ind w:left="720" w:hanging="720"/>
      </w:pPr>
      <w:r w:rsidRPr="00605E8D">
        <w:t xml:space="preserve">Forzani, F. M. (2014). Understanding “Core Practices” and “Practice-Based” teacher education learning from the past. </w:t>
      </w:r>
      <w:r w:rsidRPr="00605E8D">
        <w:rPr>
          <w:i/>
          <w:iCs/>
        </w:rPr>
        <w:t>Journal of Teacher Education, 65</w:t>
      </w:r>
      <w:r w:rsidRPr="00605E8D">
        <w:t>(4), 357-368.</w:t>
      </w:r>
    </w:p>
    <w:p w14:paraId="288A5471" w14:textId="77777777" w:rsidR="00B509D7" w:rsidRDefault="00B509D7" w:rsidP="005255DE">
      <w:pPr>
        <w:widowControl w:val="0"/>
        <w:autoSpaceDE w:val="0"/>
        <w:autoSpaceDN w:val="0"/>
        <w:adjustRightInd w:val="0"/>
        <w:spacing w:line="480" w:lineRule="auto"/>
        <w:ind w:left="720" w:hanging="720"/>
      </w:pPr>
    </w:p>
    <w:p w14:paraId="5DD647DE" w14:textId="77777777" w:rsidR="00B509D7" w:rsidRDefault="00B509D7" w:rsidP="005255DE">
      <w:pPr>
        <w:widowControl w:val="0"/>
        <w:autoSpaceDE w:val="0"/>
        <w:autoSpaceDN w:val="0"/>
        <w:adjustRightInd w:val="0"/>
        <w:spacing w:line="480" w:lineRule="auto"/>
        <w:ind w:left="720" w:hanging="720"/>
      </w:pPr>
    </w:p>
    <w:p w14:paraId="6295D3D2" w14:textId="77777777" w:rsidR="005255DE" w:rsidRPr="00056DF4" w:rsidRDefault="005255DE" w:rsidP="005255DE">
      <w:pPr>
        <w:widowControl w:val="0"/>
        <w:autoSpaceDE w:val="0"/>
        <w:autoSpaceDN w:val="0"/>
        <w:adjustRightInd w:val="0"/>
        <w:spacing w:line="480" w:lineRule="auto"/>
        <w:ind w:left="720" w:hanging="720"/>
      </w:pPr>
      <w:r w:rsidRPr="00056DF4">
        <w:lastRenderedPageBreak/>
        <w:t xml:space="preserve">Gee, J. P. (2008). A sociocultural perspective on opportunity to learn. In P. A. Moss, D. C. Pullin, J. P. Gee, E. H. Haertel, &amp; L. J. Young (Eds.), </w:t>
      </w:r>
      <w:r w:rsidRPr="00056DF4">
        <w:rPr>
          <w:i/>
          <w:iCs/>
        </w:rPr>
        <w:t>Assessment, Equity, and Opportunity to Learn</w:t>
      </w:r>
      <w:r w:rsidRPr="00056DF4">
        <w:t xml:space="preserve"> (pp. 76-108). Cambridge: Cambridge University Press.</w:t>
      </w:r>
    </w:p>
    <w:p w14:paraId="28EC08DD" w14:textId="43D10DA9" w:rsidR="005255DE" w:rsidRPr="00056DF4" w:rsidRDefault="005255DE" w:rsidP="005255DE">
      <w:pPr>
        <w:widowControl w:val="0"/>
        <w:autoSpaceDE w:val="0"/>
        <w:autoSpaceDN w:val="0"/>
        <w:adjustRightInd w:val="0"/>
        <w:spacing w:line="480" w:lineRule="auto"/>
        <w:ind w:left="720" w:hanging="720"/>
      </w:pPr>
      <w:r w:rsidRPr="00056DF4">
        <w:t>Galway, L. P., Corbett, K. K., Takaro, T.</w:t>
      </w:r>
      <w:r w:rsidR="009578BF">
        <w:t xml:space="preserve"> </w:t>
      </w:r>
      <w:r w:rsidRPr="00056DF4">
        <w:t xml:space="preserve">K., Tairyan, K., &amp; Frank, E. (2014). A novel integration of online and flipped classroom instructional models in public health higher education. </w:t>
      </w:r>
      <w:r w:rsidRPr="00056DF4">
        <w:rPr>
          <w:i/>
        </w:rPr>
        <w:t>BMC Medical Education, 14</w:t>
      </w:r>
      <w:r w:rsidRPr="00056DF4">
        <w:t>(181), 1-9.</w:t>
      </w:r>
    </w:p>
    <w:p w14:paraId="021CDD81" w14:textId="77777777" w:rsidR="005255DE" w:rsidRPr="00056DF4" w:rsidRDefault="005255DE" w:rsidP="005255DE">
      <w:pPr>
        <w:spacing w:line="480" w:lineRule="auto"/>
        <w:ind w:left="720" w:hanging="720"/>
      </w:pPr>
      <w:r w:rsidRPr="00056DF4">
        <w:t xml:space="preserve">Grant, C. (2013). First inversion: A rationale for implementing the “flipped approach.” </w:t>
      </w:r>
      <w:r w:rsidRPr="00056DF4">
        <w:rPr>
          <w:i/>
        </w:rPr>
        <w:t>Australian Journal of Music Education, 1</w:t>
      </w:r>
      <w:r w:rsidRPr="00056DF4">
        <w:t xml:space="preserve">, 3-12. </w:t>
      </w:r>
    </w:p>
    <w:p w14:paraId="286A61D3" w14:textId="77777777" w:rsidR="005255DE" w:rsidRPr="00056DF4" w:rsidRDefault="005255DE" w:rsidP="005255DE">
      <w:pPr>
        <w:spacing w:line="480" w:lineRule="auto"/>
        <w:ind w:left="720" w:hanging="720"/>
      </w:pPr>
      <w:r w:rsidRPr="00056DF4">
        <w:t xml:space="preserve">Griffin, K. A., Allen, W. R., Kimura-Walsh, E., &amp; Yamamura, E. K. (2007). Those who left, those who stayed: Exploring the educational opportunities of high-achieving Black and Latina/o students at magnet and nonmagnet Los Angeles high schools (2001-2002). </w:t>
      </w:r>
      <w:r w:rsidRPr="00056DF4">
        <w:rPr>
          <w:i/>
          <w:iCs/>
        </w:rPr>
        <w:t>Educational Studies, 42</w:t>
      </w:r>
      <w:r w:rsidRPr="00056DF4">
        <w:t xml:space="preserve">(3), 229-247. </w:t>
      </w:r>
    </w:p>
    <w:p w14:paraId="1437ABD5" w14:textId="77777777" w:rsidR="005255DE" w:rsidRPr="00D96454" w:rsidRDefault="005255DE" w:rsidP="005255DE">
      <w:pPr>
        <w:spacing w:line="480" w:lineRule="auto"/>
        <w:ind w:left="720" w:hanging="720"/>
      </w:pPr>
      <w:r w:rsidRPr="00D96454">
        <w:t xml:space="preserve">Grossman, P., Compton, C., Igra, D., Ronfeldt, M., Shahan, E., &amp; Williamson, P. (2009). Teaching practice: A cross-professional perspective. </w:t>
      </w:r>
      <w:r w:rsidRPr="00D96454">
        <w:rPr>
          <w:i/>
          <w:iCs/>
        </w:rPr>
        <w:t>The Teachers College Record, 111</w:t>
      </w:r>
      <w:r w:rsidRPr="00D96454">
        <w:t>(9), 2055-2100.</w:t>
      </w:r>
    </w:p>
    <w:p w14:paraId="36C7BC22" w14:textId="77777777" w:rsidR="005255DE" w:rsidRPr="00056DF4" w:rsidRDefault="005255DE" w:rsidP="005255DE">
      <w:pPr>
        <w:spacing w:line="480" w:lineRule="auto"/>
        <w:ind w:left="720" w:hanging="720"/>
      </w:pPr>
      <w:r w:rsidRPr="00056DF4">
        <w:t>Herman, J. L., Klein, D. C. D., &amp; Abedi, J. (2000). Assessing opportunity to learn: Teacher and student perspectives.</w:t>
      </w:r>
      <w:r w:rsidRPr="00056DF4">
        <w:rPr>
          <w:i/>
          <w:iCs/>
        </w:rPr>
        <w:t xml:space="preserve"> Educational Measurement: Issues and Practice </w:t>
      </w:r>
      <w:r w:rsidRPr="00056DF4">
        <w:t xml:space="preserve">(19), 16-24. </w:t>
      </w:r>
    </w:p>
    <w:p w14:paraId="27892F35" w14:textId="77777777" w:rsidR="005255DE" w:rsidRPr="00A330DB" w:rsidRDefault="005255DE" w:rsidP="005255DE">
      <w:pPr>
        <w:spacing w:line="480" w:lineRule="auto"/>
        <w:ind w:left="720" w:hanging="720"/>
      </w:pPr>
      <w:r w:rsidRPr="00A330DB">
        <w:t xml:space="preserve">Hollins, E. R. (2011). Teacher preparation for quality teaching. </w:t>
      </w:r>
      <w:r w:rsidRPr="00A330DB">
        <w:rPr>
          <w:i/>
          <w:iCs/>
        </w:rPr>
        <w:t>Journal of Teacher Education, 62</w:t>
      </w:r>
      <w:r w:rsidRPr="00A330DB">
        <w:t>(4), 395-407.</w:t>
      </w:r>
    </w:p>
    <w:p w14:paraId="54E4C956" w14:textId="0A6CD463" w:rsidR="005255DE" w:rsidRPr="002772C7" w:rsidRDefault="005255DE" w:rsidP="005255DE">
      <w:pPr>
        <w:spacing w:line="480" w:lineRule="auto"/>
        <w:ind w:left="720" w:hanging="720"/>
        <w:rPr>
          <w:rFonts w:eastAsia="Times New Roman"/>
        </w:rPr>
      </w:pPr>
      <w:r w:rsidRPr="002772C7">
        <w:t>Kazemi, E., Ghousseini, H., Cunard, A., &amp;</w:t>
      </w:r>
      <w:r w:rsidR="005650AD">
        <w:t xml:space="preserve"> Turrou, A. C. (2015). Getting inside rehearsals insights from teacher educators to support work on complex p</w:t>
      </w:r>
      <w:r w:rsidRPr="002772C7">
        <w:t xml:space="preserve">ractice. </w:t>
      </w:r>
      <w:r w:rsidRPr="002772C7">
        <w:rPr>
          <w:i/>
          <w:iCs/>
        </w:rPr>
        <w:t>Journal of Teacher Education</w:t>
      </w:r>
      <w:r w:rsidRPr="002772C7">
        <w:t xml:space="preserve">, </w:t>
      </w:r>
      <w:r w:rsidRPr="000B48AB">
        <w:t>1-14</w:t>
      </w:r>
      <w:r w:rsidRPr="002772C7">
        <w:t>.</w:t>
      </w:r>
    </w:p>
    <w:p w14:paraId="685D89E7" w14:textId="77777777" w:rsidR="005255DE" w:rsidRPr="00056DF4" w:rsidRDefault="005255DE" w:rsidP="005255DE">
      <w:pPr>
        <w:spacing w:line="480" w:lineRule="auto"/>
        <w:ind w:left="720" w:hanging="720"/>
      </w:pPr>
      <w:r w:rsidRPr="00056DF4">
        <w:lastRenderedPageBreak/>
        <w:t xml:space="preserve">Kurz, A. (2011). Access to what should be taught and will be tested: Students' opportunity to learn the intended curriculum. In S. N. Elliott, R. J. Kettler, P. A., Beddow, &amp; A. Kurtz (Eds.), </w:t>
      </w:r>
      <w:r w:rsidRPr="00056DF4">
        <w:rPr>
          <w:i/>
          <w:iCs/>
        </w:rPr>
        <w:t>The handbook of accessible achievement tests for all students: Bridging the gaps between research, practice and policy</w:t>
      </w:r>
      <w:r w:rsidRPr="00056DF4">
        <w:t xml:space="preserve"> (pp. 99-129). New York, NY: Springer.</w:t>
      </w:r>
    </w:p>
    <w:p w14:paraId="67803F14" w14:textId="77777777" w:rsidR="005255DE" w:rsidRPr="00D96454" w:rsidRDefault="005255DE" w:rsidP="005255DE">
      <w:pPr>
        <w:spacing w:line="480" w:lineRule="auto"/>
        <w:ind w:left="720" w:hanging="720"/>
      </w:pPr>
      <w:r w:rsidRPr="00D96454">
        <w:t xml:space="preserve">Lampert, M., Franke, M. L., Kazemi, E., Ghousseini, H., Turrou, A. C., Beasley, H., . . . Crowe, K. (2013). Keeping it complex using rehearsals to support novice teacher learning of ambitious teaching. </w:t>
      </w:r>
      <w:r w:rsidRPr="00D96454">
        <w:rPr>
          <w:i/>
          <w:iCs/>
        </w:rPr>
        <w:t>Journal of Teacher Education, 64</w:t>
      </w:r>
      <w:r w:rsidRPr="00D96454">
        <w:t>(3), 226-243.</w:t>
      </w:r>
    </w:p>
    <w:p w14:paraId="3A071245" w14:textId="5FD4D1C7" w:rsidR="004113BD" w:rsidRDefault="004113BD" w:rsidP="004113BD">
      <w:pPr>
        <w:spacing w:line="480" w:lineRule="auto"/>
        <w:ind w:left="720" w:hanging="720"/>
      </w:pPr>
      <w:proofErr w:type="gramStart"/>
      <w:r>
        <w:t>McDonald, M., Kazemi, E., Kavanagh, (2013).</w:t>
      </w:r>
      <w:proofErr w:type="gramEnd"/>
      <w:r w:rsidR="00A34105">
        <w:t xml:space="preserve"> Core practices and teacher education pedagogies: A call for a common language and collective activity. </w:t>
      </w:r>
      <w:proofErr w:type="gramStart"/>
      <w:r w:rsidR="00A34105" w:rsidRPr="00A34105">
        <w:rPr>
          <w:i/>
        </w:rPr>
        <w:t>Journal of Teacher Education</w:t>
      </w:r>
      <w:r w:rsidR="00A34105">
        <w:t>, 64, 378-386.</w:t>
      </w:r>
      <w:proofErr w:type="gramEnd"/>
    </w:p>
    <w:p w14:paraId="3E00CC24" w14:textId="77777777" w:rsidR="005255DE" w:rsidRPr="00D96454" w:rsidRDefault="005255DE" w:rsidP="005255DE">
      <w:pPr>
        <w:spacing w:line="480" w:lineRule="auto"/>
        <w:ind w:left="720" w:hanging="720"/>
      </w:pPr>
      <w:r w:rsidRPr="00D96454">
        <w:t xml:space="preserve">McDonald, M., Kazemi, E., Kelley-Petersen, M., Mikolasy, K., Thompson, J., Valencia, S. W., &amp; Windschitl, M. (2014). Practice makes practice: Learning to teach in teacher education. </w:t>
      </w:r>
      <w:r w:rsidRPr="00D96454">
        <w:rPr>
          <w:i/>
          <w:iCs/>
        </w:rPr>
        <w:t>Peabody Journal of Education, 89</w:t>
      </w:r>
      <w:r w:rsidRPr="00D96454">
        <w:t>(4), 500-515.</w:t>
      </w:r>
    </w:p>
    <w:p w14:paraId="3FA44DCE" w14:textId="77777777" w:rsidR="005255DE" w:rsidRPr="00056DF4" w:rsidRDefault="005255DE" w:rsidP="005255DE">
      <w:pPr>
        <w:spacing w:line="480" w:lineRule="auto"/>
        <w:ind w:left="720" w:hanging="720"/>
      </w:pPr>
      <w:r w:rsidRPr="00056DF4">
        <w:t xml:space="preserve">McLaughlin, J. E., Roth, M. T., Glatt, D. M., Gharkholonarehe, N., Davidson, C. A., Griffin, L. M., Esserman, D. A., &amp; Mumper, R. J. (2014). The flipped classroom: A course redesign to foster learning and engagement in a health professions school. </w:t>
      </w:r>
      <w:r w:rsidRPr="00056DF4">
        <w:rPr>
          <w:i/>
        </w:rPr>
        <w:t>Academic Medicine, 89</w:t>
      </w:r>
      <w:r w:rsidRPr="00056DF4">
        <w:t>(2), 236-243.</w:t>
      </w:r>
    </w:p>
    <w:p w14:paraId="1D49B1AD" w14:textId="77777777" w:rsidR="005255DE" w:rsidRDefault="005255DE" w:rsidP="005255DE">
      <w:pPr>
        <w:spacing w:line="480" w:lineRule="auto"/>
        <w:ind w:left="720" w:hanging="720"/>
      </w:pPr>
      <w:r>
        <w:t xml:space="preserve">McLeskey, J., &amp; Brownell, M. (2015). </w:t>
      </w:r>
      <w:r w:rsidRPr="00C938B9">
        <w:rPr>
          <w:i/>
        </w:rPr>
        <w:t>High-leverage practices and teacher preparation in special education</w:t>
      </w:r>
      <w:r>
        <w:t xml:space="preserve"> (Document No. PR-1). Retrieved from University of Florida, Collaboration for Effective Educator, Development, Accountability, and Reform Center website: http://ceedar.education.ufl.edu/tools/best-practice-review/</w:t>
      </w:r>
    </w:p>
    <w:p w14:paraId="7F768E71" w14:textId="77777777" w:rsidR="00A05325" w:rsidRDefault="00A05325" w:rsidP="00B509D7">
      <w:pPr>
        <w:spacing w:line="480" w:lineRule="auto"/>
        <w:ind w:left="720" w:hanging="720"/>
      </w:pPr>
    </w:p>
    <w:p w14:paraId="4BBBE599" w14:textId="0090012B" w:rsidR="00503B88" w:rsidRPr="00B509D7" w:rsidRDefault="005255DE" w:rsidP="00B509D7">
      <w:pPr>
        <w:spacing w:line="480" w:lineRule="auto"/>
        <w:ind w:left="720" w:hanging="720"/>
      </w:pPr>
      <w:r w:rsidRPr="00056DF4">
        <w:lastRenderedPageBreak/>
        <w:t xml:space="preserve">Mattis, K. V. (2014). Flipped classroom versus traditional textbook instruction: Assessing accuracy and mental effort at different levels of mathematical complexity. </w:t>
      </w:r>
      <w:r w:rsidRPr="00056DF4">
        <w:rPr>
          <w:i/>
        </w:rPr>
        <w:t>Technology, Knowledge and Learning: Learning Mathematics, Science and the Arts in the Context of Digital Technologies</w:t>
      </w:r>
      <w:r w:rsidRPr="00056DF4">
        <w:t>, doi: http://</w:t>
      </w:r>
      <w:r w:rsidRPr="00854304">
        <w:t>dx.doi.org/10.1007/s10758-014-9238-0</w:t>
      </w:r>
    </w:p>
    <w:p w14:paraId="0903DBFC" w14:textId="77777777" w:rsidR="005255DE" w:rsidRDefault="005255DE" w:rsidP="005255DE">
      <w:pPr>
        <w:spacing w:line="480" w:lineRule="auto"/>
        <w:ind w:left="720" w:hanging="720"/>
        <w:rPr>
          <w:sz w:val="23"/>
          <w:szCs w:val="23"/>
        </w:rPr>
      </w:pPr>
      <w:proofErr w:type="gramStart"/>
      <w:r>
        <w:rPr>
          <w:sz w:val="23"/>
          <w:szCs w:val="23"/>
        </w:rPr>
        <w:t>The National Council for Accreditation of Teacher Education.</w:t>
      </w:r>
      <w:proofErr w:type="gramEnd"/>
      <w:r>
        <w:rPr>
          <w:sz w:val="23"/>
          <w:szCs w:val="23"/>
        </w:rPr>
        <w:t xml:space="preserve"> (2010). </w:t>
      </w:r>
      <w:r>
        <w:rPr>
          <w:i/>
          <w:iCs/>
          <w:sz w:val="23"/>
          <w:szCs w:val="23"/>
        </w:rPr>
        <w:t xml:space="preserve">Transforming teacher education through clinical practice: A national strategy to prepare effective teachers. </w:t>
      </w:r>
      <w:r>
        <w:rPr>
          <w:sz w:val="23"/>
          <w:szCs w:val="23"/>
        </w:rPr>
        <w:t>Washington, DC. Retrieved from http://www.ncate.org/LinkClick.aspx</w:t>
      </w:r>
      <w:proofErr w:type="gramStart"/>
      <w:r>
        <w:rPr>
          <w:sz w:val="23"/>
          <w:szCs w:val="23"/>
        </w:rPr>
        <w:t>?fileticket</w:t>
      </w:r>
      <w:proofErr w:type="gramEnd"/>
      <w:r>
        <w:rPr>
          <w:sz w:val="23"/>
          <w:szCs w:val="23"/>
        </w:rPr>
        <w:t xml:space="preserve">=zzeiB1OoqPk%3D&amp;tabid=7 </w:t>
      </w:r>
    </w:p>
    <w:p w14:paraId="741AF7EF" w14:textId="58655E38" w:rsidR="005255DE" w:rsidRDefault="005255DE" w:rsidP="005255DE">
      <w:pPr>
        <w:spacing w:line="480" w:lineRule="auto"/>
        <w:ind w:left="720" w:hanging="720"/>
      </w:pPr>
      <w:r>
        <w:t>Pella, S. (2015). Pedagogical reasoning and action: affordances of practice-based teacher professional development. Teacher Education Quarterly, 42(3), 81</w:t>
      </w:r>
      <w:r w:rsidRPr="002D0C84">
        <w:t>-</w:t>
      </w:r>
      <w:r w:rsidR="00916F07" w:rsidRPr="002D0C84">
        <w:t>101</w:t>
      </w:r>
      <w:r>
        <w:t>.</w:t>
      </w:r>
    </w:p>
    <w:p w14:paraId="49A67E2A" w14:textId="3CF13502" w:rsidR="005255DE" w:rsidRPr="00D96454" w:rsidRDefault="005255DE" w:rsidP="005255DE">
      <w:pPr>
        <w:spacing w:line="480" w:lineRule="auto"/>
        <w:ind w:left="720" w:hanging="720"/>
        <w:rPr>
          <w:rFonts w:eastAsia="Times New Roman"/>
        </w:rPr>
      </w:pPr>
      <w:r w:rsidRPr="00D96454">
        <w:t>Reid, J.</w:t>
      </w:r>
      <w:r w:rsidR="00222306">
        <w:t xml:space="preserve"> </w:t>
      </w:r>
      <w:r w:rsidRPr="00D96454">
        <w:t xml:space="preserve">A. (2011). </w:t>
      </w:r>
      <w:proofErr w:type="gramStart"/>
      <w:r w:rsidRPr="00D96454">
        <w:t>A practice turn for teacher education?</w:t>
      </w:r>
      <w:proofErr w:type="gramEnd"/>
      <w:r w:rsidRPr="00D96454">
        <w:t xml:space="preserve"> </w:t>
      </w:r>
      <w:r w:rsidRPr="00D96454">
        <w:rPr>
          <w:i/>
          <w:iCs/>
        </w:rPr>
        <w:t>Asia-Pacific Journal of Teacher Education, 39</w:t>
      </w:r>
      <w:r w:rsidRPr="00D96454">
        <w:t>(4), 293-310.</w:t>
      </w:r>
    </w:p>
    <w:p w14:paraId="0A55E358" w14:textId="77777777" w:rsidR="005255DE" w:rsidRPr="00056DF4" w:rsidRDefault="005255DE" w:rsidP="005255DE">
      <w:pPr>
        <w:spacing w:line="480" w:lineRule="auto"/>
        <w:ind w:left="720" w:hanging="720"/>
      </w:pPr>
      <w:r w:rsidRPr="00056DF4">
        <w:t xml:space="preserve">Strayer, J. F. (2012). How learning in an inverted classroom influences cooperation, innovation and task orientation. </w:t>
      </w:r>
      <w:r w:rsidRPr="00056DF4">
        <w:rPr>
          <w:i/>
        </w:rPr>
        <w:t>Learning Environments Research, 15</w:t>
      </w:r>
      <w:r w:rsidRPr="00056DF4">
        <w:t>(2), 171-193.</w:t>
      </w:r>
    </w:p>
    <w:p w14:paraId="1BFF4E02" w14:textId="7CD17859" w:rsidR="005255DE" w:rsidRPr="0027264E" w:rsidRDefault="005255DE" w:rsidP="005255DE">
      <w:pPr>
        <w:spacing w:line="480" w:lineRule="auto"/>
        <w:ind w:left="720" w:hanging="720"/>
      </w:pPr>
      <w:r w:rsidRPr="00056DF4">
        <w:t>Tyler, N.</w:t>
      </w:r>
      <w:r w:rsidR="00804A14">
        <w:t>,</w:t>
      </w:r>
      <w:r w:rsidRPr="00056DF4">
        <w:t xml:space="preserve"> &amp;. Sims, P. (2010). Crossing the borders of disabilities: Providing research-based and technology- delivered information and materials for educators of </w:t>
      </w:r>
      <w:r w:rsidRPr="0027264E">
        <w:t xml:space="preserve">students with disabilities. </w:t>
      </w:r>
      <w:r w:rsidRPr="0027264E">
        <w:rPr>
          <w:i/>
          <w:iCs/>
        </w:rPr>
        <w:t>IRIS Center Resources</w:t>
      </w:r>
      <w:r w:rsidRPr="0027264E">
        <w:t>.</w:t>
      </w:r>
    </w:p>
    <w:p w14:paraId="40C18917" w14:textId="77777777" w:rsidR="00C4450E" w:rsidRPr="00C4450E" w:rsidRDefault="00C4450E" w:rsidP="005255DE">
      <w:pPr>
        <w:widowControl w:val="0"/>
        <w:autoSpaceDE w:val="0"/>
        <w:autoSpaceDN w:val="0"/>
        <w:adjustRightInd w:val="0"/>
        <w:spacing w:line="480" w:lineRule="auto"/>
        <w:ind w:left="720" w:hanging="720"/>
      </w:pPr>
      <w:r w:rsidRPr="00C4450E">
        <w:t xml:space="preserve">Waddell, J., &amp; Vartuli, S. (2015). Moving from Traditional Teacher Education to a Field-Based Urban Teacher Education Program: One Program's Story of Reform. </w:t>
      </w:r>
      <w:proofErr w:type="gramStart"/>
      <w:r w:rsidRPr="00C4450E">
        <w:rPr>
          <w:i/>
          <w:iCs/>
        </w:rPr>
        <w:t>Professional Educator, 39</w:t>
      </w:r>
      <w:r w:rsidRPr="00C4450E">
        <w:t>(2).</w:t>
      </w:r>
      <w:proofErr w:type="gramEnd"/>
      <w:r w:rsidRPr="00C4450E">
        <w:t xml:space="preserve"> </w:t>
      </w:r>
    </w:p>
    <w:p w14:paraId="2C606E8E" w14:textId="5BB508E0" w:rsidR="005255DE" w:rsidRPr="00A43456" w:rsidRDefault="005255DE" w:rsidP="005255DE">
      <w:pPr>
        <w:widowControl w:val="0"/>
        <w:autoSpaceDE w:val="0"/>
        <w:autoSpaceDN w:val="0"/>
        <w:adjustRightInd w:val="0"/>
        <w:spacing w:line="480" w:lineRule="auto"/>
        <w:ind w:left="720" w:hanging="720"/>
      </w:pPr>
      <w:r w:rsidRPr="00A43456">
        <w:t xml:space="preserve">Zeichner, K. (2012). The turn once again toward practice-based teacher education. </w:t>
      </w:r>
      <w:r w:rsidRPr="00A43456">
        <w:rPr>
          <w:i/>
          <w:iCs/>
        </w:rPr>
        <w:t>Journal of Teacher Education, 63</w:t>
      </w:r>
      <w:r w:rsidRPr="00A43456">
        <w:t xml:space="preserve">(5), 376-382. </w:t>
      </w:r>
    </w:p>
    <w:p w14:paraId="0A7E1089" w14:textId="77777777" w:rsidR="005255DE" w:rsidRPr="00A43456" w:rsidRDefault="005255DE" w:rsidP="005255DE">
      <w:pPr>
        <w:spacing w:line="480" w:lineRule="auto"/>
        <w:ind w:left="720"/>
      </w:pPr>
    </w:p>
    <w:p w14:paraId="60F1379E" w14:textId="5160976C" w:rsidR="00216556" w:rsidRPr="00FC268B" w:rsidRDefault="00216556" w:rsidP="005255DE"/>
    <w:sectPr w:rsidR="00216556" w:rsidRPr="00FC268B" w:rsidSect="00A605CF">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57E77" w15:done="0"/>
  <w15:commentEx w15:paraId="683D9C0C" w15:done="0"/>
  <w15:commentEx w15:paraId="3233EAC5" w15:done="0"/>
  <w15:commentEx w15:paraId="746C907A" w15:done="0"/>
  <w15:commentEx w15:paraId="03EAEDB1" w15:done="0"/>
  <w15:commentEx w15:paraId="2B5D2F91" w15:done="0"/>
  <w15:commentEx w15:paraId="2B92831A" w15:done="0"/>
  <w15:commentEx w15:paraId="15BE016E" w15:done="0"/>
  <w15:commentEx w15:paraId="2C3CE2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68337" w14:textId="77777777" w:rsidR="000A22F7" w:rsidRDefault="000A22F7" w:rsidP="00A605CF">
      <w:r>
        <w:separator/>
      </w:r>
    </w:p>
  </w:endnote>
  <w:endnote w:type="continuationSeparator" w:id="0">
    <w:p w14:paraId="32420F27" w14:textId="77777777" w:rsidR="000A22F7" w:rsidRDefault="000A22F7" w:rsidP="00A6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A8507" w14:textId="77777777" w:rsidR="000A22F7" w:rsidRDefault="000A22F7" w:rsidP="00A605CF">
      <w:r>
        <w:separator/>
      </w:r>
    </w:p>
  </w:footnote>
  <w:footnote w:type="continuationSeparator" w:id="0">
    <w:p w14:paraId="007A83B5" w14:textId="77777777" w:rsidR="000A22F7" w:rsidRDefault="000A22F7" w:rsidP="00A605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DAFE" w14:textId="77777777" w:rsidR="000A22F7" w:rsidRDefault="000A22F7" w:rsidP="008972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399D1" w14:textId="77777777" w:rsidR="000A22F7" w:rsidRDefault="000A22F7" w:rsidP="00A605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039C" w14:textId="77777777" w:rsidR="000A22F7" w:rsidRDefault="000A22F7" w:rsidP="008972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1D5">
      <w:rPr>
        <w:rStyle w:val="PageNumber"/>
        <w:noProof/>
      </w:rPr>
      <w:t>2</w:t>
    </w:r>
    <w:r>
      <w:rPr>
        <w:rStyle w:val="PageNumber"/>
      </w:rPr>
      <w:fldChar w:fldCharType="end"/>
    </w:r>
  </w:p>
  <w:p w14:paraId="42D5450C" w14:textId="3777AE2D" w:rsidR="000A22F7" w:rsidRPr="002D35B4" w:rsidRDefault="000A22F7" w:rsidP="00A605CF">
    <w:pPr>
      <w:pStyle w:val="Header"/>
      <w:ind w:right="360"/>
    </w:pPr>
    <w:r>
      <w:t xml:space="preserve">TOWARDS A PRACTICE-BASED APPROACH </w:t>
    </w:r>
  </w:p>
  <w:p w14:paraId="2C7DFE61" w14:textId="77777777" w:rsidR="000A22F7" w:rsidRDefault="000A22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E249" w14:textId="77777777" w:rsidR="000A22F7" w:rsidRPr="00B94016" w:rsidRDefault="000A22F7" w:rsidP="00B94D1C">
    <w:pPr>
      <w:pStyle w:val="Header"/>
      <w:framePr w:wrap="around" w:vAnchor="text" w:hAnchor="margin" w:xAlign="right" w:y="1"/>
      <w:rPr>
        <w:rStyle w:val="PageNumber"/>
      </w:rPr>
    </w:pPr>
    <w:r w:rsidRPr="00B94016">
      <w:rPr>
        <w:rStyle w:val="PageNumber"/>
      </w:rPr>
      <w:fldChar w:fldCharType="begin"/>
    </w:r>
    <w:r w:rsidRPr="00B94016">
      <w:rPr>
        <w:rStyle w:val="PageNumber"/>
      </w:rPr>
      <w:instrText xml:space="preserve">PAGE  </w:instrText>
    </w:r>
    <w:r w:rsidRPr="00B94016">
      <w:rPr>
        <w:rStyle w:val="PageNumber"/>
      </w:rPr>
      <w:fldChar w:fldCharType="separate"/>
    </w:r>
    <w:r w:rsidR="00FA31D5">
      <w:rPr>
        <w:rStyle w:val="PageNumber"/>
        <w:noProof/>
      </w:rPr>
      <w:t>1</w:t>
    </w:r>
    <w:r w:rsidRPr="00B94016">
      <w:rPr>
        <w:rStyle w:val="PageNumber"/>
      </w:rPr>
      <w:fldChar w:fldCharType="end"/>
    </w:r>
  </w:p>
  <w:p w14:paraId="02DC834F" w14:textId="194CBF71" w:rsidR="000A22F7" w:rsidRPr="002D35B4" w:rsidRDefault="000A22F7" w:rsidP="00A605CF">
    <w:pPr>
      <w:pStyle w:val="Header"/>
      <w:ind w:right="360"/>
    </w:pPr>
    <w:r w:rsidRPr="002D35B4">
      <w:t xml:space="preserve">Running head: </w:t>
    </w:r>
    <w:r>
      <w:t xml:space="preserve">TOWARDS A PRACTICE-BASED APPROACH </w:t>
    </w:r>
  </w:p>
  <w:p w14:paraId="3DA32FEB" w14:textId="77777777" w:rsidR="000A22F7" w:rsidRDefault="000A2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wvaz9wuz9x0ke9f9p5pwvgva5p9d9pr0ee&quot;&gt;Leadership and Systems Change&lt;record-ids&gt;&lt;item&gt;22&lt;/item&gt;&lt;/record-ids&gt;&lt;/item&gt;&lt;/Libraries&gt;"/>
  </w:docVars>
  <w:rsids>
    <w:rsidRoot w:val="007D4F46"/>
    <w:rsid w:val="0000086E"/>
    <w:rsid w:val="000016C4"/>
    <w:rsid w:val="000078A5"/>
    <w:rsid w:val="000112A9"/>
    <w:rsid w:val="00011E2D"/>
    <w:rsid w:val="00013F60"/>
    <w:rsid w:val="00015142"/>
    <w:rsid w:val="00015E4F"/>
    <w:rsid w:val="00033BBC"/>
    <w:rsid w:val="00035977"/>
    <w:rsid w:val="00035E26"/>
    <w:rsid w:val="00043283"/>
    <w:rsid w:val="00045AE7"/>
    <w:rsid w:val="00047642"/>
    <w:rsid w:val="00051795"/>
    <w:rsid w:val="000524E9"/>
    <w:rsid w:val="00053C2B"/>
    <w:rsid w:val="00061445"/>
    <w:rsid w:val="00066155"/>
    <w:rsid w:val="00072446"/>
    <w:rsid w:val="000733E6"/>
    <w:rsid w:val="000755AE"/>
    <w:rsid w:val="00076E4F"/>
    <w:rsid w:val="0008002D"/>
    <w:rsid w:val="00081B10"/>
    <w:rsid w:val="00083057"/>
    <w:rsid w:val="00085EF0"/>
    <w:rsid w:val="00087D17"/>
    <w:rsid w:val="00090AC7"/>
    <w:rsid w:val="00092124"/>
    <w:rsid w:val="000A22F7"/>
    <w:rsid w:val="000A3A97"/>
    <w:rsid w:val="000A3E51"/>
    <w:rsid w:val="000A41B1"/>
    <w:rsid w:val="000B03B0"/>
    <w:rsid w:val="000B05E7"/>
    <w:rsid w:val="000B14D7"/>
    <w:rsid w:val="000B4967"/>
    <w:rsid w:val="000B531F"/>
    <w:rsid w:val="000B6703"/>
    <w:rsid w:val="000C1FF9"/>
    <w:rsid w:val="000C444E"/>
    <w:rsid w:val="000C594D"/>
    <w:rsid w:val="000C5C0D"/>
    <w:rsid w:val="000D0E2B"/>
    <w:rsid w:val="000D1A13"/>
    <w:rsid w:val="000D2B3C"/>
    <w:rsid w:val="000D430A"/>
    <w:rsid w:val="000D7ED7"/>
    <w:rsid w:val="000E3C0E"/>
    <w:rsid w:val="00100D4A"/>
    <w:rsid w:val="001028F8"/>
    <w:rsid w:val="0010738A"/>
    <w:rsid w:val="0011124D"/>
    <w:rsid w:val="001130EA"/>
    <w:rsid w:val="0012320C"/>
    <w:rsid w:val="00126C3E"/>
    <w:rsid w:val="00130B93"/>
    <w:rsid w:val="00133ABC"/>
    <w:rsid w:val="00134548"/>
    <w:rsid w:val="00134C61"/>
    <w:rsid w:val="00136190"/>
    <w:rsid w:val="0013695A"/>
    <w:rsid w:val="00137182"/>
    <w:rsid w:val="0014128D"/>
    <w:rsid w:val="001434A4"/>
    <w:rsid w:val="00144D1B"/>
    <w:rsid w:val="00146650"/>
    <w:rsid w:val="00151280"/>
    <w:rsid w:val="00153A35"/>
    <w:rsid w:val="00154063"/>
    <w:rsid w:val="001559C9"/>
    <w:rsid w:val="0016193D"/>
    <w:rsid w:val="00166B92"/>
    <w:rsid w:val="0017378F"/>
    <w:rsid w:val="00173E98"/>
    <w:rsid w:val="0017720E"/>
    <w:rsid w:val="0018541E"/>
    <w:rsid w:val="001A1F28"/>
    <w:rsid w:val="001A21C3"/>
    <w:rsid w:val="001A44E9"/>
    <w:rsid w:val="001B087A"/>
    <w:rsid w:val="001B1D06"/>
    <w:rsid w:val="001C09AD"/>
    <w:rsid w:val="001C1B93"/>
    <w:rsid w:val="001D2096"/>
    <w:rsid w:val="001D36CC"/>
    <w:rsid w:val="001E1894"/>
    <w:rsid w:val="001E6EF7"/>
    <w:rsid w:val="001E7B63"/>
    <w:rsid w:val="001F49FD"/>
    <w:rsid w:val="00203C37"/>
    <w:rsid w:val="00205F53"/>
    <w:rsid w:val="0021147C"/>
    <w:rsid w:val="00212990"/>
    <w:rsid w:val="00212A9F"/>
    <w:rsid w:val="0021456A"/>
    <w:rsid w:val="00216556"/>
    <w:rsid w:val="00221E31"/>
    <w:rsid w:val="00222306"/>
    <w:rsid w:val="00222C61"/>
    <w:rsid w:val="00225663"/>
    <w:rsid w:val="002271D4"/>
    <w:rsid w:val="00244BF6"/>
    <w:rsid w:val="00247758"/>
    <w:rsid w:val="00252508"/>
    <w:rsid w:val="00253D3D"/>
    <w:rsid w:val="002578FD"/>
    <w:rsid w:val="00257C8B"/>
    <w:rsid w:val="002663FF"/>
    <w:rsid w:val="00271B42"/>
    <w:rsid w:val="00285B74"/>
    <w:rsid w:val="00286195"/>
    <w:rsid w:val="00287D01"/>
    <w:rsid w:val="00290ED4"/>
    <w:rsid w:val="0029372D"/>
    <w:rsid w:val="00295FFA"/>
    <w:rsid w:val="002979B8"/>
    <w:rsid w:val="002C1F33"/>
    <w:rsid w:val="002C2E12"/>
    <w:rsid w:val="002C7144"/>
    <w:rsid w:val="002D0C84"/>
    <w:rsid w:val="002E1314"/>
    <w:rsid w:val="002E442F"/>
    <w:rsid w:val="002E4CD2"/>
    <w:rsid w:val="002F0B85"/>
    <w:rsid w:val="002F212E"/>
    <w:rsid w:val="002F4CA6"/>
    <w:rsid w:val="003014A2"/>
    <w:rsid w:val="0030274F"/>
    <w:rsid w:val="00303FE0"/>
    <w:rsid w:val="0030501A"/>
    <w:rsid w:val="003174FE"/>
    <w:rsid w:val="00317E81"/>
    <w:rsid w:val="00325E84"/>
    <w:rsid w:val="00326F4D"/>
    <w:rsid w:val="0033012E"/>
    <w:rsid w:val="00334DCA"/>
    <w:rsid w:val="0034020D"/>
    <w:rsid w:val="00340AB9"/>
    <w:rsid w:val="00344E7D"/>
    <w:rsid w:val="00346F8F"/>
    <w:rsid w:val="00353098"/>
    <w:rsid w:val="003560B7"/>
    <w:rsid w:val="00357322"/>
    <w:rsid w:val="0036381D"/>
    <w:rsid w:val="00365FF7"/>
    <w:rsid w:val="00367238"/>
    <w:rsid w:val="0038082C"/>
    <w:rsid w:val="00380BC2"/>
    <w:rsid w:val="003A2400"/>
    <w:rsid w:val="003B0D9F"/>
    <w:rsid w:val="003B2981"/>
    <w:rsid w:val="003C6933"/>
    <w:rsid w:val="003D4BD3"/>
    <w:rsid w:val="003E3883"/>
    <w:rsid w:val="003E6580"/>
    <w:rsid w:val="003E7FC6"/>
    <w:rsid w:val="00401E96"/>
    <w:rsid w:val="0040260E"/>
    <w:rsid w:val="004113BD"/>
    <w:rsid w:val="00411769"/>
    <w:rsid w:val="00414463"/>
    <w:rsid w:val="004263D0"/>
    <w:rsid w:val="004322CC"/>
    <w:rsid w:val="004378E7"/>
    <w:rsid w:val="00443FA6"/>
    <w:rsid w:val="00444161"/>
    <w:rsid w:val="004451EB"/>
    <w:rsid w:val="00446894"/>
    <w:rsid w:val="004508A2"/>
    <w:rsid w:val="004517E7"/>
    <w:rsid w:val="00453276"/>
    <w:rsid w:val="00463628"/>
    <w:rsid w:val="00464860"/>
    <w:rsid w:val="004720D3"/>
    <w:rsid w:val="00474226"/>
    <w:rsid w:val="0048269C"/>
    <w:rsid w:val="00482734"/>
    <w:rsid w:val="004855E1"/>
    <w:rsid w:val="00490095"/>
    <w:rsid w:val="00490B8C"/>
    <w:rsid w:val="00491F44"/>
    <w:rsid w:val="00494A1A"/>
    <w:rsid w:val="00494E68"/>
    <w:rsid w:val="004A01A8"/>
    <w:rsid w:val="004A3461"/>
    <w:rsid w:val="004B295D"/>
    <w:rsid w:val="004B3187"/>
    <w:rsid w:val="004C0CF1"/>
    <w:rsid w:val="004C2FD5"/>
    <w:rsid w:val="004C361D"/>
    <w:rsid w:val="004C5704"/>
    <w:rsid w:val="004E3561"/>
    <w:rsid w:val="004E424E"/>
    <w:rsid w:val="004F4B88"/>
    <w:rsid w:val="004F4C62"/>
    <w:rsid w:val="0050177F"/>
    <w:rsid w:val="00501FF4"/>
    <w:rsid w:val="00503B88"/>
    <w:rsid w:val="00506977"/>
    <w:rsid w:val="00512713"/>
    <w:rsid w:val="0051378B"/>
    <w:rsid w:val="00515C29"/>
    <w:rsid w:val="00515F7B"/>
    <w:rsid w:val="005205E7"/>
    <w:rsid w:val="005207FD"/>
    <w:rsid w:val="00521BCA"/>
    <w:rsid w:val="00523F99"/>
    <w:rsid w:val="005255DE"/>
    <w:rsid w:val="00526396"/>
    <w:rsid w:val="0052724E"/>
    <w:rsid w:val="00532C9C"/>
    <w:rsid w:val="0053348C"/>
    <w:rsid w:val="00533528"/>
    <w:rsid w:val="0053700D"/>
    <w:rsid w:val="0053784C"/>
    <w:rsid w:val="00544BE5"/>
    <w:rsid w:val="00545D8D"/>
    <w:rsid w:val="00551EA3"/>
    <w:rsid w:val="00555CFB"/>
    <w:rsid w:val="005620E7"/>
    <w:rsid w:val="005650AD"/>
    <w:rsid w:val="00565724"/>
    <w:rsid w:val="00570774"/>
    <w:rsid w:val="00570CD3"/>
    <w:rsid w:val="00572E67"/>
    <w:rsid w:val="00576622"/>
    <w:rsid w:val="00576DF4"/>
    <w:rsid w:val="00577C9C"/>
    <w:rsid w:val="00581304"/>
    <w:rsid w:val="0059571F"/>
    <w:rsid w:val="005959A4"/>
    <w:rsid w:val="005A6294"/>
    <w:rsid w:val="005A6D26"/>
    <w:rsid w:val="005A7339"/>
    <w:rsid w:val="005B0A50"/>
    <w:rsid w:val="005B0D19"/>
    <w:rsid w:val="005B375F"/>
    <w:rsid w:val="005B464A"/>
    <w:rsid w:val="005B7666"/>
    <w:rsid w:val="005C229D"/>
    <w:rsid w:val="005C2B01"/>
    <w:rsid w:val="005C443C"/>
    <w:rsid w:val="005C4BDF"/>
    <w:rsid w:val="005C660D"/>
    <w:rsid w:val="005D24E5"/>
    <w:rsid w:val="005D53AC"/>
    <w:rsid w:val="005D5DB3"/>
    <w:rsid w:val="005E2D7A"/>
    <w:rsid w:val="005E45FF"/>
    <w:rsid w:val="005F00B1"/>
    <w:rsid w:val="005F4154"/>
    <w:rsid w:val="005F5782"/>
    <w:rsid w:val="005F74BF"/>
    <w:rsid w:val="0060037C"/>
    <w:rsid w:val="00603CA8"/>
    <w:rsid w:val="00606170"/>
    <w:rsid w:val="006076F7"/>
    <w:rsid w:val="006219F7"/>
    <w:rsid w:val="00631014"/>
    <w:rsid w:val="006332CB"/>
    <w:rsid w:val="00635271"/>
    <w:rsid w:val="00636CE8"/>
    <w:rsid w:val="00647BA4"/>
    <w:rsid w:val="006516B6"/>
    <w:rsid w:val="0065768E"/>
    <w:rsid w:val="00661849"/>
    <w:rsid w:val="00662026"/>
    <w:rsid w:val="00663D8A"/>
    <w:rsid w:val="00667511"/>
    <w:rsid w:val="00674833"/>
    <w:rsid w:val="00675C69"/>
    <w:rsid w:val="006807C1"/>
    <w:rsid w:val="006A51A9"/>
    <w:rsid w:val="006A5413"/>
    <w:rsid w:val="006A59F4"/>
    <w:rsid w:val="006B46B8"/>
    <w:rsid w:val="006B4E5E"/>
    <w:rsid w:val="006F2569"/>
    <w:rsid w:val="006F46EA"/>
    <w:rsid w:val="006F574D"/>
    <w:rsid w:val="006F700B"/>
    <w:rsid w:val="00700179"/>
    <w:rsid w:val="007019BB"/>
    <w:rsid w:val="00704118"/>
    <w:rsid w:val="007044FF"/>
    <w:rsid w:val="0070646D"/>
    <w:rsid w:val="00707381"/>
    <w:rsid w:val="00714420"/>
    <w:rsid w:val="00715201"/>
    <w:rsid w:val="007228A3"/>
    <w:rsid w:val="00725E74"/>
    <w:rsid w:val="00730DD2"/>
    <w:rsid w:val="00731089"/>
    <w:rsid w:val="00734EF4"/>
    <w:rsid w:val="00743B58"/>
    <w:rsid w:val="00747705"/>
    <w:rsid w:val="00747B2B"/>
    <w:rsid w:val="007502EE"/>
    <w:rsid w:val="0075331F"/>
    <w:rsid w:val="007635C8"/>
    <w:rsid w:val="00767528"/>
    <w:rsid w:val="00767983"/>
    <w:rsid w:val="00773F8E"/>
    <w:rsid w:val="00775F60"/>
    <w:rsid w:val="007874E5"/>
    <w:rsid w:val="00790A6B"/>
    <w:rsid w:val="007978C3"/>
    <w:rsid w:val="007B21D3"/>
    <w:rsid w:val="007B3697"/>
    <w:rsid w:val="007B4866"/>
    <w:rsid w:val="007B6FBB"/>
    <w:rsid w:val="007C61D1"/>
    <w:rsid w:val="007C6E94"/>
    <w:rsid w:val="007D0094"/>
    <w:rsid w:val="007D4F46"/>
    <w:rsid w:val="007D692B"/>
    <w:rsid w:val="007D70C0"/>
    <w:rsid w:val="007D7682"/>
    <w:rsid w:val="007D7B88"/>
    <w:rsid w:val="007F4A1F"/>
    <w:rsid w:val="007F7E20"/>
    <w:rsid w:val="00804A14"/>
    <w:rsid w:val="00807021"/>
    <w:rsid w:val="00810C23"/>
    <w:rsid w:val="008111BF"/>
    <w:rsid w:val="008151C4"/>
    <w:rsid w:val="00824755"/>
    <w:rsid w:val="008247A2"/>
    <w:rsid w:val="00830EFE"/>
    <w:rsid w:val="00830F3E"/>
    <w:rsid w:val="008320B6"/>
    <w:rsid w:val="00832DD8"/>
    <w:rsid w:val="0083577A"/>
    <w:rsid w:val="008423D2"/>
    <w:rsid w:val="008434B6"/>
    <w:rsid w:val="00846075"/>
    <w:rsid w:val="00854304"/>
    <w:rsid w:val="00862516"/>
    <w:rsid w:val="008654D8"/>
    <w:rsid w:val="00865C82"/>
    <w:rsid w:val="008714AC"/>
    <w:rsid w:val="0087207C"/>
    <w:rsid w:val="008819D6"/>
    <w:rsid w:val="00887F5B"/>
    <w:rsid w:val="00890CB5"/>
    <w:rsid w:val="008911D7"/>
    <w:rsid w:val="00892060"/>
    <w:rsid w:val="00892216"/>
    <w:rsid w:val="00894C99"/>
    <w:rsid w:val="0089616B"/>
    <w:rsid w:val="008972A9"/>
    <w:rsid w:val="008A387E"/>
    <w:rsid w:val="008B4438"/>
    <w:rsid w:val="008C0D49"/>
    <w:rsid w:val="008C4F4A"/>
    <w:rsid w:val="008D0B95"/>
    <w:rsid w:val="008D0E39"/>
    <w:rsid w:val="008D4EBD"/>
    <w:rsid w:val="008E1BA4"/>
    <w:rsid w:val="008E69B2"/>
    <w:rsid w:val="008E7D8D"/>
    <w:rsid w:val="008F0CFB"/>
    <w:rsid w:val="008F338D"/>
    <w:rsid w:val="008F662E"/>
    <w:rsid w:val="008F6A73"/>
    <w:rsid w:val="00905664"/>
    <w:rsid w:val="009109E2"/>
    <w:rsid w:val="00912053"/>
    <w:rsid w:val="00916953"/>
    <w:rsid w:val="00916BFE"/>
    <w:rsid w:val="00916F07"/>
    <w:rsid w:val="00923B0C"/>
    <w:rsid w:val="009342D4"/>
    <w:rsid w:val="009342FC"/>
    <w:rsid w:val="00944A93"/>
    <w:rsid w:val="00946E1E"/>
    <w:rsid w:val="00950108"/>
    <w:rsid w:val="00950A77"/>
    <w:rsid w:val="00953089"/>
    <w:rsid w:val="00953962"/>
    <w:rsid w:val="00953F03"/>
    <w:rsid w:val="00954DA3"/>
    <w:rsid w:val="009578BF"/>
    <w:rsid w:val="00960AAD"/>
    <w:rsid w:val="00967CD5"/>
    <w:rsid w:val="00970087"/>
    <w:rsid w:val="00974939"/>
    <w:rsid w:val="0097532C"/>
    <w:rsid w:val="00975617"/>
    <w:rsid w:val="00976183"/>
    <w:rsid w:val="009761DB"/>
    <w:rsid w:val="009771D8"/>
    <w:rsid w:val="0098572A"/>
    <w:rsid w:val="00991F35"/>
    <w:rsid w:val="009B272F"/>
    <w:rsid w:val="009B303A"/>
    <w:rsid w:val="009B33D6"/>
    <w:rsid w:val="009B4A12"/>
    <w:rsid w:val="009B4A16"/>
    <w:rsid w:val="009B57FB"/>
    <w:rsid w:val="009B622D"/>
    <w:rsid w:val="009B7F16"/>
    <w:rsid w:val="009D0650"/>
    <w:rsid w:val="009D1DEB"/>
    <w:rsid w:val="009D21A2"/>
    <w:rsid w:val="009D2E81"/>
    <w:rsid w:val="009D4883"/>
    <w:rsid w:val="009D788A"/>
    <w:rsid w:val="009E63BE"/>
    <w:rsid w:val="009F343F"/>
    <w:rsid w:val="009F4721"/>
    <w:rsid w:val="00A02432"/>
    <w:rsid w:val="00A03173"/>
    <w:rsid w:val="00A049D8"/>
    <w:rsid w:val="00A05165"/>
    <w:rsid w:val="00A05325"/>
    <w:rsid w:val="00A06F9A"/>
    <w:rsid w:val="00A126E9"/>
    <w:rsid w:val="00A153D3"/>
    <w:rsid w:val="00A17602"/>
    <w:rsid w:val="00A17DCD"/>
    <w:rsid w:val="00A17E9D"/>
    <w:rsid w:val="00A205A3"/>
    <w:rsid w:val="00A26116"/>
    <w:rsid w:val="00A26190"/>
    <w:rsid w:val="00A262A1"/>
    <w:rsid w:val="00A33CB7"/>
    <w:rsid w:val="00A34105"/>
    <w:rsid w:val="00A34FA7"/>
    <w:rsid w:val="00A4425E"/>
    <w:rsid w:val="00A47815"/>
    <w:rsid w:val="00A50BA0"/>
    <w:rsid w:val="00A50EA2"/>
    <w:rsid w:val="00A5593B"/>
    <w:rsid w:val="00A605CF"/>
    <w:rsid w:val="00A615EA"/>
    <w:rsid w:val="00A675BD"/>
    <w:rsid w:val="00A77A47"/>
    <w:rsid w:val="00A809E1"/>
    <w:rsid w:val="00A8232C"/>
    <w:rsid w:val="00A826F7"/>
    <w:rsid w:val="00A83BC9"/>
    <w:rsid w:val="00A83D75"/>
    <w:rsid w:val="00A8488B"/>
    <w:rsid w:val="00A91AA1"/>
    <w:rsid w:val="00A95733"/>
    <w:rsid w:val="00AA4BB5"/>
    <w:rsid w:val="00AB38FA"/>
    <w:rsid w:val="00AC1094"/>
    <w:rsid w:val="00AC25CF"/>
    <w:rsid w:val="00AC6997"/>
    <w:rsid w:val="00AC7982"/>
    <w:rsid w:val="00AD1990"/>
    <w:rsid w:val="00AD3F3B"/>
    <w:rsid w:val="00AD7FC4"/>
    <w:rsid w:val="00AE3742"/>
    <w:rsid w:val="00AE433B"/>
    <w:rsid w:val="00AE4E32"/>
    <w:rsid w:val="00AE7DE2"/>
    <w:rsid w:val="00AE7EB7"/>
    <w:rsid w:val="00AF4401"/>
    <w:rsid w:val="00AF6622"/>
    <w:rsid w:val="00AF7783"/>
    <w:rsid w:val="00B14B1F"/>
    <w:rsid w:val="00B22288"/>
    <w:rsid w:val="00B248CB"/>
    <w:rsid w:val="00B276F6"/>
    <w:rsid w:val="00B3534F"/>
    <w:rsid w:val="00B36490"/>
    <w:rsid w:val="00B411C6"/>
    <w:rsid w:val="00B43296"/>
    <w:rsid w:val="00B508ED"/>
    <w:rsid w:val="00B509D7"/>
    <w:rsid w:val="00B54C59"/>
    <w:rsid w:val="00B55BF9"/>
    <w:rsid w:val="00B57627"/>
    <w:rsid w:val="00B60B34"/>
    <w:rsid w:val="00B6389F"/>
    <w:rsid w:val="00B63F65"/>
    <w:rsid w:val="00B65CA2"/>
    <w:rsid w:val="00B66935"/>
    <w:rsid w:val="00B67F91"/>
    <w:rsid w:val="00B809E3"/>
    <w:rsid w:val="00B8269D"/>
    <w:rsid w:val="00B84DB1"/>
    <w:rsid w:val="00B85772"/>
    <w:rsid w:val="00B8780C"/>
    <w:rsid w:val="00B9362E"/>
    <w:rsid w:val="00B94016"/>
    <w:rsid w:val="00B94D1C"/>
    <w:rsid w:val="00B95A51"/>
    <w:rsid w:val="00BA0A2B"/>
    <w:rsid w:val="00BA7BE5"/>
    <w:rsid w:val="00BB020A"/>
    <w:rsid w:val="00BB4227"/>
    <w:rsid w:val="00BB4B5F"/>
    <w:rsid w:val="00BB5505"/>
    <w:rsid w:val="00BB6F6F"/>
    <w:rsid w:val="00BC1AB1"/>
    <w:rsid w:val="00BC26A1"/>
    <w:rsid w:val="00BD0A23"/>
    <w:rsid w:val="00BD3E42"/>
    <w:rsid w:val="00BD532F"/>
    <w:rsid w:val="00BD6E58"/>
    <w:rsid w:val="00BE060D"/>
    <w:rsid w:val="00BE1242"/>
    <w:rsid w:val="00BE1A9E"/>
    <w:rsid w:val="00BF24D6"/>
    <w:rsid w:val="00C17233"/>
    <w:rsid w:val="00C2029A"/>
    <w:rsid w:val="00C3007A"/>
    <w:rsid w:val="00C30F6D"/>
    <w:rsid w:val="00C32DAC"/>
    <w:rsid w:val="00C4332F"/>
    <w:rsid w:val="00C4450E"/>
    <w:rsid w:val="00C45AE8"/>
    <w:rsid w:val="00C5356C"/>
    <w:rsid w:val="00C566E6"/>
    <w:rsid w:val="00C62487"/>
    <w:rsid w:val="00C62E1C"/>
    <w:rsid w:val="00C72EFD"/>
    <w:rsid w:val="00C845D7"/>
    <w:rsid w:val="00C85D4C"/>
    <w:rsid w:val="00C87ABF"/>
    <w:rsid w:val="00CA2A88"/>
    <w:rsid w:val="00CA4A10"/>
    <w:rsid w:val="00CA632C"/>
    <w:rsid w:val="00CB7A3E"/>
    <w:rsid w:val="00CB7E6A"/>
    <w:rsid w:val="00CC1E71"/>
    <w:rsid w:val="00CD2495"/>
    <w:rsid w:val="00CE1744"/>
    <w:rsid w:val="00CE6884"/>
    <w:rsid w:val="00CF1550"/>
    <w:rsid w:val="00CF2CB9"/>
    <w:rsid w:val="00CF6103"/>
    <w:rsid w:val="00CF658C"/>
    <w:rsid w:val="00CF7C65"/>
    <w:rsid w:val="00D0404E"/>
    <w:rsid w:val="00D0705C"/>
    <w:rsid w:val="00D17969"/>
    <w:rsid w:val="00D2366A"/>
    <w:rsid w:val="00D238CC"/>
    <w:rsid w:val="00D255D3"/>
    <w:rsid w:val="00D420C1"/>
    <w:rsid w:val="00D52388"/>
    <w:rsid w:val="00D622A8"/>
    <w:rsid w:val="00D63B9E"/>
    <w:rsid w:val="00D655DD"/>
    <w:rsid w:val="00D70F26"/>
    <w:rsid w:val="00D87058"/>
    <w:rsid w:val="00D97F1A"/>
    <w:rsid w:val="00DA2074"/>
    <w:rsid w:val="00DA5726"/>
    <w:rsid w:val="00DA6AF5"/>
    <w:rsid w:val="00DA757F"/>
    <w:rsid w:val="00DB10EE"/>
    <w:rsid w:val="00DB282A"/>
    <w:rsid w:val="00DB4169"/>
    <w:rsid w:val="00DB4D1B"/>
    <w:rsid w:val="00DC1CC7"/>
    <w:rsid w:val="00DC4C8D"/>
    <w:rsid w:val="00DC63BA"/>
    <w:rsid w:val="00DC70C8"/>
    <w:rsid w:val="00DE0208"/>
    <w:rsid w:val="00DE3C58"/>
    <w:rsid w:val="00DE7AF8"/>
    <w:rsid w:val="00DF40CA"/>
    <w:rsid w:val="00DF492E"/>
    <w:rsid w:val="00DF7ABC"/>
    <w:rsid w:val="00E03E01"/>
    <w:rsid w:val="00E04D69"/>
    <w:rsid w:val="00E074AD"/>
    <w:rsid w:val="00E101D8"/>
    <w:rsid w:val="00E106B7"/>
    <w:rsid w:val="00E11BE9"/>
    <w:rsid w:val="00E122C6"/>
    <w:rsid w:val="00E13EC2"/>
    <w:rsid w:val="00E14447"/>
    <w:rsid w:val="00E14DCA"/>
    <w:rsid w:val="00E14E6E"/>
    <w:rsid w:val="00E1727C"/>
    <w:rsid w:val="00E22185"/>
    <w:rsid w:val="00E26888"/>
    <w:rsid w:val="00E26CC7"/>
    <w:rsid w:val="00E30E59"/>
    <w:rsid w:val="00E33FF9"/>
    <w:rsid w:val="00E40747"/>
    <w:rsid w:val="00E44CF2"/>
    <w:rsid w:val="00E4601E"/>
    <w:rsid w:val="00E47C6B"/>
    <w:rsid w:val="00E53386"/>
    <w:rsid w:val="00E533F9"/>
    <w:rsid w:val="00E5358E"/>
    <w:rsid w:val="00E641DF"/>
    <w:rsid w:val="00E70403"/>
    <w:rsid w:val="00E75B5C"/>
    <w:rsid w:val="00E856D7"/>
    <w:rsid w:val="00E8583E"/>
    <w:rsid w:val="00E9009C"/>
    <w:rsid w:val="00E91565"/>
    <w:rsid w:val="00E93CA5"/>
    <w:rsid w:val="00EA623B"/>
    <w:rsid w:val="00EA628D"/>
    <w:rsid w:val="00EB2595"/>
    <w:rsid w:val="00EB4A24"/>
    <w:rsid w:val="00EB594D"/>
    <w:rsid w:val="00EB6A66"/>
    <w:rsid w:val="00EB6B27"/>
    <w:rsid w:val="00EB721A"/>
    <w:rsid w:val="00EC173C"/>
    <w:rsid w:val="00ED1A21"/>
    <w:rsid w:val="00ED29C9"/>
    <w:rsid w:val="00ED35DE"/>
    <w:rsid w:val="00ED36DB"/>
    <w:rsid w:val="00ED59AB"/>
    <w:rsid w:val="00ED5FC4"/>
    <w:rsid w:val="00EE0D36"/>
    <w:rsid w:val="00EE1092"/>
    <w:rsid w:val="00EE1510"/>
    <w:rsid w:val="00EE1A65"/>
    <w:rsid w:val="00EE4807"/>
    <w:rsid w:val="00EF0BA5"/>
    <w:rsid w:val="00EF3A9E"/>
    <w:rsid w:val="00EF4680"/>
    <w:rsid w:val="00EF47A4"/>
    <w:rsid w:val="00F00FEA"/>
    <w:rsid w:val="00F01CBA"/>
    <w:rsid w:val="00F0586A"/>
    <w:rsid w:val="00F13626"/>
    <w:rsid w:val="00F1713E"/>
    <w:rsid w:val="00F211C8"/>
    <w:rsid w:val="00F3063F"/>
    <w:rsid w:val="00F360FC"/>
    <w:rsid w:val="00F40586"/>
    <w:rsid w:val="00F420F7"/>
    <w:rsid w:val="00F4500D"/>
    <w:rsid w:val="00F47117"/>
    <w:rsid w:val="00F501A5"/>
    <w:rsid w:val="00F56974"/>
    <w:rsid w:val="00F62D9A"/>
    <w:rsid w:val="00F6497A"/>
    <w:rsid w:val="00F667FD"/>
    <w:rsid w:val="00F73BD3"/>
    <w:rsid w:val="00F74BF8"/>
    <w:rsid w:val="00F7555C"/>
    <w:rsid w:val="00F77D8B"/>
    <w:rsid w:val="00F826D3"/>
    <w:rsid w:val="00FA031E"/>
    <w:rsid w:val="00FA31D5"/>
    <w:rsid w:val="00FA3714"/>
    <w:rsid w:val="00FB1BFB"/>
    <w:rsid w:val="00FC1484"/>
    <w:rsid w:val="00FC18A9"/>
    <w:rsid w:val="00FC268B"/>
    <w:rsid w:val="00FC77CA"/>
    <w:rsid w:val="00FE1811"/>
    <w:rsid w:val="00FE243C"/>
    <w:rsid w:val="00FE4B7D"/>
    <w:rsid w:val="00FF1429"/>
    <w:rsid w:val="00FF1E9F"/>
    <w:rsid w:val="00FF1EF4"/>
    <w:rsid w:val="00FF3CF2"/>
    <w:rsid w:val="00FF43C7"/>
    <w:rsid w:val="00FF6343"/>
    <w:rsid w:val="00FF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9A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5CF"/>
    <w:pPr>
      <w:tabs>
        <w:tab w:val="center" w:pos="4320"/>
        <w:tab w:val="right" w:pos="8640"/>
      </w:tabs>
    </w:pPr>
  </w:style>
  <w:style w:type="character" w:customStyle="1" w:styleId="HeaderChar">
    <w:name w:val="Header Char"/>
    <w:basedOn w:val="DefaultParagraphFont"/>
    <w:link w:val="Header"/>
    <w:uiPriority w:val="99"/>
    <w:rsid w:val="00A605CF"/>
  </w:style>
  <w:style w:type="paragraph" w:styleId="Footer">
    <w:name w:val="footer"/>
    <w:basedOn w:val="Normal"/>
    <w:link w:val="FooterChar"/>
    <w:uiPriority w:val="99"/>
    <w:unhideWhenUsed/>
    <w:rsid w:val="00A605CF"/>
    <w:pPr>
      <w:tabs>
        <w:tab w:val="center" w:pos="4320"/>
        <w:tab w:val="right" w:pos="8640"/>
      </w:tabs>
    </w:pPr>
  </w:style>
  <w:style w:type="character" w:customStyle="1" w:styleId="FooterChar">
    <w:name w:val="Footer Char"/>
    <w:basedOn w:val="DefaultParagraphFont"/>
    <w:link w:val="Footer"/>
    <w:uiPriority w:val="99"/>
    <w:rsid w:val="00A605CF"/>
  </w:style>
  <w:style w:type="character" w:styleId="PageNumber">
    <w:name w:val="page number"/>
    <w:basedOn w:val="DefaultParagraphFont"/>
    <w:uiPriority w:val="99"/>
    <w:semiHidden/>
    <w:unhideWhenUsed/>
    <w:rsid w:val="00A605CF"/>
  </w:style>
  <w:style w:type="paragraph" w:styleId="BalloonText">
    <w:name w:val="Balloon Text"/>
    <w:basedOn w:val="Normal"/>
    <w:link w:val="BalloonTextChar"/>
    <w:uiPriority w:val="99"/>
    <w:semiHidden/>
    <w:unhideWhenUsed/>
    <w:rsid w:val="00334D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D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532F"/>
    <w:rPr>
      <w:sz w:val="18"/>
      <w:szCs w:val="18"/>
    </w:rPr>
  </w:style>
  <w:style w:type="paragraph" w:styleId="CommentText">
    <w:name w:val="annotation text"/>
    <w:basedOn w:val="Normal"/>
    <w:link w:val="CommentTextChar"/>
    <w:uiPriority w:val="99"/>
    <w:semiHidden/>
    <w:unhideWhenUsed/>
    <w:rsid w:val="00BD532F"/>
  </w:style>
  <w:style w:type="character" w:customStyle="1" w:styleId="CommentTextChar">
    <w:name w:val="Comment Text Char"/>
    <w:basedOn w:val="DefaultParagraphFont"/>
    <w:link w:val="CommentText"/>
    <w:uiPriority w:val="99"/>
    <w:semiHidden/>
    <w:rsid w:val="00BD532F"/>
  </w:style>
  <w:style w:type="paragraph" w:styleId="CommentSubject">
    <w:name w:val="annotation subject"/>
    <w:basedOn w:val="CommentText"/>
    <w:next w:val="CommentText"/>
    <w:link w:val="CommentSubjectChar"/>
    <w:uiPriority w:val="99"/>
    <w:semiHidden/>
    <w:unhideWhenUsed/>
    <w:rsid w:val="00BD532F"/>
    <w:rPr>
      <w:b/>
      <w:bCs/>
      <w:sz w:val="20"/>
      <w:szCs w:val="20"/>
    </w:rPr>
  </w:style>
  <w:style w:type="character" w:customStyle="1" w:styleId="CommentSubjectChar">
    <w:name w:val="Comment Subject Char"/>
    <w:basedOn w:val="CommentTextChar"/>
    <w:link w:val="CommentSubject"/>
    <w:uiPriority w:val="99"/>
    <w:semiHidden/>
    <w:rsid w:val="00BD532F"/>
    <w:rPr>
      <w:b/>
      <w:bCs/>
      <w:sz w:val="20"/>
      <w:szCs w:val="20"/>
    </w:rPr>
  </w:style>
  <w:style w:type="paragraph" w:styleId="Revision">
    <w:name w:val="Revision"/>
    <w:hidden/>
    <w:uiPriority w:val="99"/>
    <w:semiHidden/>
    <w:rsid w:val="00D17969"/>
  </w:style>
  <w:style w:type="paragraph" w:customStyle="1" w:styleId="EndNoteBibliographyTitle">
    <w:name w:val="EndNote Bibliography Title"/>
    <w:basedOn w:val="Normal"/>
    <w:rsid w:val="00E03E01"/>
    <w:pPr>
      <w:jc w:val="center"/>
    </w:pPr>
  </w:style>
  <w:style w:type="paragraph" w:customStyle="1" w:styleId="EndNoteBibliography">
    <w:name w:val="EndNote Bibliography"/>
    <w:basedOn w:val="Normal"/>
    <w:rsid w:val="00E03E01"/>
  </w:style>
  <w:style w:type="table" w:styleId="TableGrid">
    <w:name w:val="Table Grid"/>
    <w:basedOn w:val="TableNormal"/>
    <w:uiPriority w:val="59"/>
    <w:rsid w:val="00CB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244BF6"/>
  </w:style>
  <w:style w:type="table" w:styleId="MediumGrid2">
    <w:name w:val="Medium Grid 2"/>
    <w:basedOn w:val="TableNormal"/>
    <w:uiPriority w:val="68"/>
    <w:rsid w:val="00FF1E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5CF"/>
    <w:pPr>
      <w:tabs>
        <w:tab w:val="center" w:pos="4320"/>
        <w:tab w:val="right" w:pos="8640"/>
      </w:tabs>
    </w:pPr>
  </w:style>
  <w:style w:type="character" w:customStyle="1" w:styleId="HeaderChar">
    <w:name w:val="Header Char"/>
    <w:basedOn w:val="DefaultParagraphFont"/>
    <w:link w:val="Header"/>
    <w:uiPriority w:val="99"/>
    <w:rsid w:val="00A605CF"/>
  </w:style>
  <w:style w:type="paragraph" w:styleId="Footer">
    <w:name w:val="footer"/>
    <w:basedOn w:val="Normal"/>
    <w:link w:val="FooterChar"/>
    <w:uiPriority w:val="99"/>
    <w:unhideWhenUsed/>
    <w:rsid w:val="00A605CF"/>
    <w:pPr>
      <w:tabs>
        <w:tab w:val="center" w:pos="4320"/>
        <w:tab w:val="right" w:pos="8640"/>
      </w:tabs>
    </w:pPr>
  </w:style>
  <w:style w:type="character" w:customStyle="1" w:styleId="FooterChar">
    <w:name w:val="Footer Char"/>
    <w:basedOn w:val="DefaultParagraphFont"/>
    <w:link w:val="Footer"/>
    <w:uiPriority w:val="99"/>
    <w:rsid w:val="00A605CF"/>
  </w:style>
  <w:style w:type="character" w:styleId="PageNumber">
    <w:name w:val="page number"/>
    <w:basedOn w:val="DefaultParagraphFont"/>
    <w:uiPriority w:val="99"/>
    <w:semiHidden/>
    <w:unhideWhenUsed/>
    <w:rsid w:val="00A605CF"/>
  </w:style>
  <w:style w:type="paragraph" w:styleId="BalloonText">
    <w:name w:val="Balloon Text"/>
    <w:basedOn w:val="Normal"/>
    <w:link w:val="BalloonTextChar"/>
    <w:uiPriority w:val="99"/>
    <w:semiHidden/>
    <w:unhideWhenUsed/>
    <w:rsid w:val="00334D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D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532F"/>
    <w:rPr>
      <w:sz w:val="18"/>
      <w:szCs w:val="18"/>
    </w:rPr>
  </w:style>
  <w:style w:type="paragraph" w:styleId="CommentText">
    <w:name w:val="annotation text"/>
    <w:basedOn w:val="Normal"/>
    <w:link w:val="CommentTextChar"/>
    <w:uiPriority w:val="99"/>
    <w:semiHidden/>
    <w:unhideWhenUsed/>
    <w:rsid w:val="00BD532F"/>
  </w:style>
  <w:style w:type="character" w:customStyle="1" w:styleId="CommentTextChar">
    <w:name w:val="Comment Text Char"/>
    <w:basedOn w:val="DefaultParagraphFont"/>
    <w:link w:val="CommentText"/>
    <w:uiPriority w:val="99"/>
    <w:semiHidden/>
    <w:rsid w:val="00BD532F"/>
  </w:style>
  <w:style w:type="paragraph" w:styleId="CommentSubject">
    <w:name w:val="annotation subject"/>
    <w:basedOn w:val="CommentText"/>
    <w:next w:val="CommentText"/>
    <w:link w:val="CommentSubjectChar"/>
    <w:uiPriority w:val="99"/>
    <w:semiHidden/>
    <w:unhideWhenUsed/>
    <w:rsid w:val="00BD532F"/>
    <w:rPr>
      <w:b/>
      <w:bCs/>
      <w:sz w:val="20"/>
      <w:szCs w:val="20"/>
    </w:rPr>
  </w:style>
  <w:style w:type="character" w:customStyle="1" w:styleId="CommentSubjectChar">
    <w:name w:val="Comment Subject Char"/>
    <w:basedOn w:val="CommentTextChar"/>
    <w:link w:val="CommentSubject"/>
    <w:uiPriority w:val="99"/>
    <w:semiHidden/>
    <w:rsid w:val="00BD532F"/>
    <w:rPr>
      <w:b/>
      <w:bCs/>
      <w:sz w:val="20"/>
      <w:szCs w:val="20"/>
    </w:rPr>
  </w:style>
  <w:style w:type="paragraph" w:styleId="Revision">
    <w:name w:val="Revision"/>
    <w:hidden/>
    <w:uiPriority w:val="99"/>
    <w:semiHidden/>
    <w:rsid w:val="00D17969"/>
  </w:style>
  <w:style w:type="paragraph" w:customStyle="1" w:styleId="EndNoteBibliographyTitle">
    <w:name w:val="EndNote Bibliography Title"/>
    <w:basedOn w:val="Normal"/>
    <w:rsid w:val="00E03E01"/>
    <w:pPr>
      <w:jc w:val="center"/>
    </w:pPr>
  </w:style>
  <w:style w:type="paragraph" w:customStyle="1" w:styleId="EndNoteBibliography">
    <w:name w:val="EndNote Bibliography"/>
    <w:basedOn w:val="Normal"/>
    <w:rsid w:val="00E03E01"/>
  </w:style>
  <w:style w:type="table" w:styleId="TableGrid">
    <w:name w:val="Table Grid"/>
    <w:basedOn w:val="TableNormal"/>
    <w:uiPriority w:val="59"/>
    <w:rsid w:val="00CB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244BF6"/>
  </w:style>
  <w:style w:type="table" w:styleId="MediumGrid2">
    <w:name w:val="Medium Grid 2"/>
    <w:basedOn w:val="TableNormal"/>
    <w:uiPriority w:val="68"/>
    <w:rsid w:val="00FF1E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65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523B-C995-6E45-BB29-8D73BA44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8372</Words>
  <Characters>47725</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Knackstedt</dc:creator>
  <cp:keywords/>
  <dc:description/>
  <cp:lastModifiedBy>Molly Baustien</cp:lastModifiedBy>
  <cp:revision>2</cp:revision>
  <dcterms:created xsi:type="dcterms:W3CDTF">2016-04-18T15:56:00Z</dcterms:created>
  <dcterms:modified xsi:type="dcterms:W3CDTF">2016-04-18T15:56:00Z</dcterms:modified>
</cp:coreProperties>
</file>